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5A3BEA" w14:textId="70DCAF1D" w:rsidR="00294813" w:rsidRPr="00AD239A" w:rsidRDefault="00092502" w:rsidP="005E7E33">
      <w:pPr>
        <w:rPr>
          <w:rFonts w:ascii="Garamond" w:hAnsi="Garamond"/>
          <w:szCs w:val="22"/>
        </w:rPr>
      </w:pPr>
      <w:r w:rsidRPr="00AD239A">
        <w:rPr>
          <w:rFonts w:ascii="Garamond" w:hAnsi="Garamond"/>
          <w:b/>
          <w:i/>
          <w:szCs w:val="22"/>
        </w:rPr>
        <w:t>Mix</w:t>
      </w:r>
      <w:r w:rsidR="0021048A" w:rsidRPr="00AD239A">
        <w:rPr>
          <w:rFonts w:ascii="Garamond" w:hAnsi="Garamond"/>
          <w:b/>
          <w:i/>
          <w:szCs w:val="22"/>
        </w:rPr>
        <w:t>ed</w:t>
      </w:r>
      <w:r w:rsidRPr="00AD239A">
        <w:rPr>
          <w:rFonts w:ascii="Garamond" w:hAnsi="Garamond"/>
          <w:b/>
          <w:i/>
          <w:szCs w:val="22"/>
        </w:rPr>
        <w:t xml:space="preserve"> Signals on Summary Judgment</w:t>
      </w:r>
    </w:p>
    <w:p w14:paraId="628BF1F3" w14:textId="2DCDD996" w:rsidR="00092502" w:rsidRPr="00AD239A" w:rsidRDefault="00092502" w:rsidP="005E7E33">
      <w:pPr>
        <w:rPr>
          <w:rFonts w:ascii="Garamond" w:hAnsi="Garamond"/>
          <w:szCs w:val="22"/>
        </w:rPr>
      </w:pPr>
      <w:r w:rsidRPr="00AD239A">
        <w:rPr>
          <w:rFonts w:ascii="Garamond" w:hAnsi="Garamond"/>
          <w:szCs w:val="22"/>
        </w:rPr>
        <w:t>Howard M. Wasserman</w:t>
      </w:r>
    </w:p>
    <w:p w14:paraId="71B92565" w14:textId="77777777" w:rsidR="003002A2" w:rsidRPr="00AD239A" w:rsidRDefault="003002A2" w:rsidP="005E7E33">
      <w:pPr>
        <w:rPr>
          <w:rFonts w:ascii="Garamond" w:hAnsi="Garamond"/>
          <w:szCs w:val="22"/>
        </w:rPr>
      </w:pPr>
    </w:p>
    <w:p w14:paraId="66DC8608" w14:textId="7CD93248" w:rsidR="003002A2" w:rsidRPr="00AD239A" w:rsidRDefault="00421074" w:rsidP="003002A2">
      <w:pPr>
        <w:ind w:firstLine="360"/>
        <w:rPr>
          <w:rFonts w:ascii="Garamond" w:hAnsi="Garamond"/>
          <w:szCs w:val="22"/>
        </w:rPr>
      </w:pPr>
      <w:r w:rsidRPr="00AD239A">
        <w:rPr>
          <w:rFonts w:ascii="Garamond" w:hAnsi="Garamond"/>
          <w:szCs w:val="22"/>
        </w:rPr>
        <w:t>Since the</w:t>
      </w:r>
      <w:r w:rsidR="003002A2" w:rsidRPr="00AD239A">
        <w:rPr>
          <w:rFonts w:ascii="Garamond" w:hAnsi="Garamond"/>
          <w:szCs w:val="22"/>
        </w:rPr>
        <w:t xml:space="preserve"> Supreme Court’s 1986 trilogy,</w:t>
      </w:r>
      <w:r w:rsidR="00643532" w:rsidRPr="00AD239A">
        <w:rPr>
          <w:rStyle w:val="FootnoteReference"/>
          <w:rFonts w:ascii="Garamond" w:hAnsi="Garamond"/>
          <w:szCs w:val="22"/>
        </w:rPr>
        <w:footnoteReference w:id="1"/>
      </w:r>
      <w:r w:rsidR="003002A2" w:rsidRPr="00AD239A">
        <w:rPr>
          <w:rFonts w:ascii="Garamond" w:hAnsi="Garamond"/>
          <w:szCs w:val="22"/>
        </w:rPr>
        <w:t xml:space="preserve"> summary judgment </w:t>
      </w:r>
      <w:r w:rsidR="0059298F" w:rsidRPr="00AD239A">
        <w:rPr>
          <w:rFonts w:ascii="Garamond" w:hAnsi="Garamond"/>
          <w:szCs w:val="22"/>
        </w:rPr>
        <w:t>has been recognized</w:t>
      </w:r>
      <w:r w:rsidR="003002A2" w:rsidRPr="00AD239A">
        <w:rPr>
          <w:rFonts w:ascii="Garamond" w:hAnsi="Garamond"/>
          <w:szCs w:val="22"/>
        </w:rPr>
        <w:t xml:space="preserve"> as the </w:t>
      </w:r>
      <w:r w:rsidR="002802D2" w:rsidRPr="00AD239A">
        <w:rPr>
          <w:rFonts w:ascii="Garamond" w:hAnsi="Garamond"/>
          <w:szCs w:val="22"/>
        </w:rPr>
        <w:t>great cause of</w:t>
      </w:r>
      <w:r w:rsidR="003002A2" w:rsidRPr="00AD239A">
        <w:rPr>
          <w:rFonts w:ascii="Garamond" w:hAnsi="Garamond"/>
          <w:szCs w:val="22"/>
        </w:rPr>
        <w:t xml:space="preserve"> the decline of civil trials. Even if precise statistics </w:t>
      </w:r>
      <w:r w:rsidR="00836694" w:rsidRPr="00AD239A">
        <w:rPr>
          <w:rFonts w:ascii="Garamond" w:hAnsi="Garamond"/>
          <w:szCs w:val="22"/>
        </w:rPr>
        <w:t xml:space="preserve">were lacking </w:t>
      </w:r>
      <w:r w:rsidR="003002A2" w:rsidRPr="00AD239A">
        <w:rPr>
          <w:rFonts w:ascii="Garamond" w:hAnsi="Garamond"/>
          <w:szCs w:val="22"/>
        </w:rPr>
        <w:t>about rates of summary judgment,</w:t>
      </w:r>
      <w:r w:rsidR="00643532" w:rsidRPr="00AD239A">
        <w:rPr>
          <w:rStyle w:val="FootnoteReference"/>
          <w:rFonts w:ascii="Garamond" w:hAnsi="Garamond"/>
          <w:szCs w:val="22"/>
        </w:rPr>
        <w:footnoteReference w:id="2"/>
      </w:r>
      <w:r w:rsidR="003002A2" w:rsidRPr="00AD239A">
        <w:rPr>
          <w:rFonts w:ascii="Garamond" w:hAnsi="Garamond"/>
          <w:szCs w:val="22"/>
        </w:rPr>
        <w:t xml:space="preserve"> there is a general </w:t>
      </w:r>
      <w:r w:rsidR="00F03D1A" w:rsidRPr="00AD239A">
        <w:rPr>
          <w:rFonts w:ascii="Garamond" w:hAnsi="Garamond"/>
          <w:szCs w:val="22"/>
        </w:rPr>
        <w:t>gestalt sense</w:t>
      </w:r>
      <w:r w:rsidR="003002A2" w:rsidRPr="00AD239A">
        <w:rPr>
          <w:rFonts w:ascii="Garamond" w:hAnsi="Garamond"/>
          <w:szCs w:val="22"/>
        </w:rPr>
        <w:t xml:space="preserve"> that summary judgment accounted for a rising portion of </w:t>
      </w:r>
      <w:r w:rsidR="00844245" w:rsidRPr="00AD239A">
        <w:rPr>
          <w:rFonts w:ascii="Garamond" w:hAnsi="Garamond"/>
          <w:szCs w:val="22"/>
        </w:rPr>
        <w:t>motions and case</w:t>
      </w:r>
      <w:r w:rsidR="003002A2" w:rsidRPr="00AD239A">
        <w:rPr>
          <w:rFonts w:ascii="Garamond" w:hAnsi="Garamond"/>
          <w:szCs w:val="22"/>
        </w:rPr>
        <w:t xml:space="preserve"> dispositions,</w:t>
      </w:r>
      <w:r w:rsidR="00643532" w:rsidRPr="00AD239A">
        <w:rPr>
          <w:rStyle w:val="FootnoteReference"/>
          <w:rFonts w:ascii="Garamond" w:hAnsi="Garamond"/>
          <w:szCs w:val="22"/>
        </w:rPr>
        <w:footnoteReference w:id="3"/>
      </w:r>
      <w:r w:rsidR="003002A2" w:rsidRPr="00AD239A">
        <w:rPr>
          <w:rFonts w:ascii="Garamond" w:hAnsi="Garamond"/>
          <w:szCs w:val="22"/>
        </w:rPr>
        <w:t xml:space="preserve"> particularly in certain</w:t>
      </w:r>
      <w:r w:rsidR="00836694" w:rsidRPr="00AD239A">
        <w:rPr>
          <w:rFonts w:ascii="Garamond" w:hAnsi="Garamond"/>
          <w:szCs w:val="22"/>
        </w:rPr>
        <w:t xml:space="preserve"> substantive areas and in a way that </w:t>
      </w:r>
      <w:r w:rsidR="00643532" w:rsidRPr="00AD239A">
        <w:rPr>
          <w:rFonts w:ascii="Garamond" w:hAnsi="Garamond"/>
          <w:szCs w:val="22"/>
        </w:rPr>
        <w:t>advantaged defendants</w:t>
      </w:r>
      <w:r w:rsidR="007F7196" w:rsidRPr="00AD239A">
        <w:rPr>
          <w:rFonts w:ascii="Garamond" w:hAnsi="Garamond"/>
          <w:szCs w:val="22"/>
        </w:rPr>
        <w:t xml:space="preserve"> and disadvantaged plaintiffs</w:t>
      </w:r>
      <w:r w:rsidR="003002A2" w:rsidRPr="00AD239A">
        <w:rPr>
          <w:rFonts w:ascii="Garamond" w:hAnsi="Garamond"/>
          <w:szCs w:val="22"/>
        </w:rPr>
        <w:t>.</w:t>
      </w:r>
      <w:r w:rsidR="00643532" w:rsidRPr="00AD239A">
        <w:rPr>
          <w:rStyle w:val="FootnoteReference"/>
          <w:rFonts w:ascii="Garamond" w:hAnsi="Garamond"/>
          <w:szCs w:val="22"/>
        </w:rPr>
        <w:footnoteReference w:id="4"/>
      </w:r>
      <w:r w:rsidR="00135B6C" w:rsidRPr="00AD239A">
        <w:rPr>
          <w:rFonts w:ascii="Garamond" w:hAnsi="Garamond"/>
          <w:szCs w:val="22"/>
        </w:rPr>
        <w:t xml:space="preserve"> P</w:t>
      </w:r>
      <w:r w:rsidR="003002A2" w:rsidRPr="00AD239A">
        <w:rPr>
          <w:rFonts w:ascii="Garamond" w:hAnsi="Garamond"/>
          <w:szCs w:val="22"/>
        </w:rPr>
        <w:t>erhaps because the contours and standards of summary judgment</w:t>
      </w:r>
      <w:r w:rsidR="00DF7AA5" w:rsidRPr="00AD239A">
        <w:rPr>
          <w:rFonts w:ascii="Garamond" w:hAnsi="Garamond"/>
          <w:szCs w:val="22"/>
        </w:rPr>
        <w:t>’s broad reach</w:t>
      </w:r>
      <w:r w:rsidR="003002A2" w:rsidRPr="00AD239A">
        <w:rPr>
          <w:rFonts w:ascii="Garamond" w:hAnsi="Garamond"/>
          <w:szCs w:val="22"/>
        </w:rPr>
        <w:t xml:space="preserve"> were </w:t>
      </w:r>
      <w:r w:rsidR="00DF7AA5" w:rsidRPr="00AD239A">
        <w:rPr>
          <w:rFonts w:ascii="Garamond" w:hAnsi="Garamond"/>
          <w:szCs w:val="22"/>
        </w:rPr>
        <w:t>so established so long ago,</w:t>
      </w:r>
      <w:r w:rsidR="00135B6C" w:rsidRPr="00AD239A">
        <w:rPr>
          <w:rFonts w:ascii="Garamond" w:hAnsi="Garamond"/>
          <w:szCs w:val="22"/>
        </w:rPr>
        <w:t xml:space="preserve"> however</w:t>
      </w:r>
      <w:r w:rsidR="00D77BA6" w:rsidRPr="00AD239A">
        <w:rPr>
          <w:rFonts w:ascii="Garamond" w:hAnsi="Garamond"/>
          <w:szCs w:val="22"/>
        </w:rPr>
        <w:t>,</w:t>
      </w:r>
      <w:r w:rsidR="00DF7AA5" w:rsidRPr="00AD239A">
        <w:rPr>
          <w:rFonts w:ascii="Garamond" w:hAnsi="Garamond"/>
          <w:szCs w:val="22"/>
        </w:rPr>
        <w:t xml:space="preserve"> the Roberts Court has had little to add. Combined with amendments to the summary judgment rules in 2010 that largely brought the</w:t>
      </w:r>
      <w:r w:rsidR="00DA2753" w:rsidRPr="00AD239A">
        <w:rPr>
          <w:rFonts w:ascii="Garamond" w:hAnsi="Garamond"/>
          <w:szCs w:val="22"/>
        </w:rPr>
        <w:t xml:space="preserve"> rule’s</w:t>
      </w:r>
      <w:r w:rsidR="00DF7AA5" w:rsidRPr="00AD239A">
        <w:rPr>
          <w:rFonts w:ascii="Garamond" w:hAnsi="Garamond"/>
          <w:szCs w:val="22"/>
        </w:rPr>
        <w:t xml:space="preserve"> text in line with </w:t>
      </w:r>
      <w:r w:rsidR="00F82D70" w:rsidRPr="00AD239A">
        <w:rPr>
          <w:rFonts w:ascii="Garamond" w:hAnsi="Garamond"/>
          <w:szCs w:val="22"/>
        </w:rPr>
        <w:t>Supreme Court pronouncements,</w:t>
      </w:r>
      <w:r w:rsidR="00DA2753" w:rsidRPr="00AD239A">
        <w:rPr>
          <w:rFonts w:ascii="Garamond" w:hAnsi="Garamond"/>
          <w:szCs w:val="22"/>
        </w:rPr>
        <w:t xml:space="preserve"> case law, </w:t>
      </w:r>
      <w:r w:rsidR="00DF7AA5" w:rsidRPr="00AD239A">
        <w:rPr>
          <w:rFonts w:ascii="Garamond" w:hAnsi="Garamond"/>
          <w:szCs w:val="22"/>
        </w:rPr>
        <w:t>and</w:t>
      </w:r>
      <w:r w:rsidR="00F82D70" w:rsidRPr="00AD239A">
        <w:rPr>
          <w:rFonts w:ascii="Garamond" w:hAnsi="Garamond"/>
          <w:szCs w:val="22"/>
        </w:rPr>
        <w:t xml:space="preserve"> common</w:t>
      </w:r>
      <w:r w:rsidR="00DF7AA5" w:rsidRPr="00AD239A">
        <w:rPr>
          <w:rFonts w:ascii="Garamond" w:hAnsi="Garamond"/>
          <w:szCs w:val="22"/>
        </w:rPr>
        <w:t xml:space="preserve"> practice,</w:t>
      </w:r>
      <w:r w:rsidR="003F7719" w:rsidRPr="00AD239A">
        <w:rPr>
          <w:rStyle w:val="FootnoteReference"/>
          <w:rFonts w:ascii="Garamond" w:hAnsi="Garamond"/>
          <w:szCs w:val="22"/>
        </w:rPr>
        <w:footnoteReference w:id="5"/>
      </w:r>
      <w:r w:rsidR="00DF7AA5" w:rsidRPr="00AD239A">
        <w:rPr>
          <w:rFonts w:ascii="Garamond" w:hAnsi="Garamond"/>
          <w:szCs w:val="22"/>
        </w:rPr>
        <w:t xml:space="preserve"> the area seems settled.</w:t>
      </w:r>
    </w:p>
    <w:p w14:paraId="350EC1F0" w14:textId="544512B0" w:rsidR="00DF7AA5" w:rsidRPr="00AD239A" w:rsidRDefault="00885351" w:rsidP="003002A2">
      <w:pPr>
        <w:ind w:firstLine="360"/>
        <w:rPr>
          <w:rFonts w:ascii="Garamond" w:hAnsi="Garamond"/>
          <w:szCs w:val="22"/>
        </w:rPr>
      </w:pPr>
      <w:r w:rsidRPr="00AD239A">
        <w:rPr>
          <w:rFonts w:ascii="Garamond" w:hAnsi="Garamond"/>
          <w:szCs w:val="22"/>
        </w:rPr>
        <w:t>By contrast, t</w:t>
      </w:r>
      <w:r w:rsidR="00DF7AA5" w:rsidRPr="00AD239A">
        <w:rPr>
          <w:rFonts w:ascii="Garamond" w:hAnsi="Garamond"/>
          <w:szCs w:val="22"/>
        </w:rPr>
        <w:t xml:space="preserve">he Roberts Court has spent </w:t>
      </w:r>
      <w:r w:rsidR="008F7564" w:rsidRPr="00AD239A">
        <w:rPr>
          <w:rFonts w:ascii="Garamond" w:hAnsi="Garamond"/>
          <w:szCs w:val="22"/>
        </w:rPr>
        <w:t>far</w:t>
      </w:r>
      <w:r w:rsidR="00DF7AA5" w:rsidRPr="00AD239A">
        <w:rPr>
          <w:rFonts w:ascii="Garamond" w:hAnsi="Garamond"/>
          <w:szCs w:val="22"/>
        </w:rPr>
        <w:t xml:space="preserve"> more time on pleading standards and on increasing the role of Rule 12(b)(6) dismissals.</w:t>
      </w:r>
      <w:r w:rsidR="0088374E" w:rsidRPr="00AD239A">
        <w:rPr>
          <w:rStyle w:val="FootnoteReference"/>
          <w:rFonts w:ascii="Garamond" w:hAnsi="Garamond"/>
          <w:szCs w:val="22"/>
        </w:rPr>
        <w:footnoteReference w:id="6"/>
      </w:r>
      <w:r w:rsidR="00DF7AA5" w:rsidRPr="00AD239A">
        <w:rPr>
          <w:rFonts w:ascii="Garamond" w:hAnsi="Garamond"/>
          <w:szCs w:val="22"/>
        </w:rPr>
        <w:t xml:space="preserve"> </w:t>
      </w:r>
      <w:r w:rsidR="00352E7D" w:rsidRPr="00AD239A">
        <w:rPr>
          <w:rFonts w:ascii="Garamond" w:hAnsi="Garamond"/>
          <w:szCs w:val="22"/>
        </w:rPr>
        <w:t>And the</w:t>
      </w:r>
      <w:r w:rsidR="00DF7AA5" w:rsidRPr="00AD239A">
        <w:rPr>
          <w:rFonts w:ascii="Garamond" w:hAnsi="Garamond"/>
          <w:szCs w:val="22"/>
        </w:rPr>
        <w:t xml:space="preserve"> vast array of scholarship on </w:t>
      </w:r>
      <w:r w:rsidR="00DF7AA5" w:rsidRPr="00AD239A">
        <w:rPr>
          <w:rFonts w:ascii="Garamond" w:hAnsi="Garamond"/>
          <w:i/>
          <w:szCs w:val="22"/>
        </w:rPr>
        <w:t>Twombly</w:t>
      </w:r>
      <w:r w:rsidR="00DF7AA5" w:rsidRPr="00AD239A">
        <w:rPr>
          <w:rFonts w:ascii="Garamond" w:hAnsi="Garamond"/>
          <w:szCs w:val="22"/>
        </w:rPr>
        <w:t xml:space="preserve"> and </w:t>
      </w:r>
      <w:r w:rsidR="00DF7AA5" w:rsidRPr="00AD239A">
        <w:rPr>
          <w:rFonts w:ascii="Garamond" w:hAnsi="Garamond"/>
          <w:i/>
          <w:szCs w:val="22"/>
        </w:rPr>
        <w:t>Iqbal</w:t>
      </w:r>
      <w:r w:rsidR="00EE2B93" w:rsidRPr="00AD239A">
        <w:rPr>
          <w:rStyle w:val="FootnoteReference"/>
          <w:rFonts w:ascii="Garamond" w:hAnsi="Garamond"/>
          <w:i/>
          <w:szCs w:val="22"/>
        </w:rPr>
        <w:footnoteReference w:id="7"/>
      </w:r>
      <w:r w:rsidR="00DF7AA5" w:rsidRPr="00AD239A">
        <w:rPr>
          <w:rFonts w:ascii="Garamond" w:hAnsi="Garamond"/>
          <w:szCs w:val="22"/>
        </w:rPr>
        <w:t xml:space="preserve"> largely suggests that the Court has been successful in that endeavor. But a </w:t>
      </w:r>
      <w:r w:rsidR="000B0A36" w:rsidRPr="00AD239A">
        <w:rPr>
          <w:rFonts w:ascii="Garamond" w:hAnsi="Garamond"/>
          <w:szCs w:val="22"/>
        </w:rPr>
        <w:t>likely concomitant</w:t>
      </w:r>
      <w:r w:rsidR="00DF7AA5" w:rsidRPr="00AD239A">
        <w:rPr>
          <w:rFonts w:ascii="Garamond" w:hAnsi="Garamond"/>
          <w:szCs w:val="22"/>
        </w:rPr>
        <w:t xml:space="preserve"> effect of the increased role of 12(b)(6) is a decreased role for summary judgment. </w:t>
      </w:r>
      <w:r w:rsidR="00E214B2" w:rsidRPr="00AD239A">
        <w:rPr>
          <w:rFonts w:ascii="Garamond" w:hAnsi="Garamond"/>
          <w:szCs w:val="22"/>
        </w:rPr>
        <w:t>The</w:t>
      </w:r>
      <w:r w:rsidR="00DF7AA5" w:rsidRPr="00AD239A">
        <w:rPr>
          <w:rFonts w:ascii="Garamond" w:hAnsi="Garamond"/>
          <w:szCs w:val="22"/>
        </w:rPr>
        <w:t xml:space="preserve"> greater difficulty for plaintiffs in pleading a “plausible” non-conclusory claim</w:t>
      </w:r>
      <w:r w:rsidR="00404A2D" w:rsidRPr="00AD239A">
        <w:rPr>
          <w:rFonts w:ascii="Garamond" w:hAnsi="Garamond"/>
          <w:szCs w:val="22"/>
        </w:rPr>
        <w:t xml:space="preserve"> that can survive a motion to dismiss</w:t>
      </w:r>
      <w:r w:rsidR="00DF7AA5" w:rsidRPr="00AD239A">
        <w:rPr>
          <w:rFonts w:ascii="Garamond" w:hAnsi="Garamond"/>
          <w:szCs w:val="22"/>
        </w:rPr>
        <w:t xml:space="preserve">, combined with immediate review of the denial of </w:t>
      </w:r>
      <w:r w:rsidR="00692F78" w:rsidRPr="00AD239A">
        <w:rPr>
          <w:rFonts w:ascii="Garamond" w:hAnsi="Garamond"/>
          <w:szCs w:val="22"/>
        </w:rPr>
        <w:t>a motion to dismiss</w:t>
      </w:r>
      <w:r w:rsidR="00DF7AA5" w:rsidRPr="00AD239A">
        <w:rPr>
          <w:rFonts w:ascii="Garamond" w:hAnsi="Garamond"/>
          <w:szCs w:val="22"/>
        </w:rPr>
        <w:t xml:space="preserve"> </w:t>
      </w:r>
      <w:r w:rsidR="00692F78" w:rsidRPr="00AD239A">
        <w:rPr>
          <w:rFonts w:ascii="Garamond" w:hAnsi="Garamond"/>
          <w:szCs w:val="22"/>
        </w:rPr>
        <w:t xml:space="preserve">raising </w:t>
      </w:r>
      <w:r w:rsidR="00DF7AA5" w:rsidRPr="00AD239A">
        <w:rPr>
          <w:rFonts w:ascii="Garamond" w:hAnsi="Garamond"/>
          <w:szCs w:val="22"/>
        </w:rPr>
        <w:t xml:space="preserve">qualified immunity, </w:t>
      </w:r>
      <w:r w:rsidR="00880834" w:rsidRPr="00AD239A">
        <w:rPr>
          <w:rFonts w:ascii="Garamond" w:hAnsi="Garamond"/>
          <w:szCs w:val="22"/>
        </w:rPr>
        <w:t>mean</w:t>
      </w:r>
      <w:r w:rsidR="00DF7AA5" w:rsidRPr="00AD239A">
        <w:rPr>
          <w:rFonts w:ascii="Garamond" w:hAnsi="Garamond"/>
          <w:szCs w:val="22"/>
        </w:rPr>
        <w:t xml:space="preserve"> fewer cases </w:t>
      </w:r>
      <w:r w:rsidR="00C111B7" w:rsidRPr="00AD239A">
        <w:rPr>
          <w:rFonts w:ascii="Garamond" w:hAnsi="Garamond"/>
          <w:szCs w:val="22"/>
        </w:rPr>
        <w:t xml:space="preserve">need summary judgment as a basis for </w:t>
      </w:r>
      <w:r w:rsidR="00D54880" w:rsidRPr="00AD239A">
        <w:rPr>
          <w:rFonts w:ascii="Garamond" w:hAnsi="Garamond"/>
          <w:szCs w:val="22"/>
        </w:rPr>
        <w:t xml:space="preserve">pre-trial </w:t>
      </w:r>
      <w:r w:rsidR="00C111B7" w:rsidRPr="00AD239A">
        <w:rPr>
          <w:rFonts w:ascii="Garamond" w:hAnsi="Garamond"/>
          <w:szCs w:val="22"/>
        </w:rPr>
        <w:t>disposition</w:t>
      </w:r>
      <w:r w:rsidR="00DF7AA5" w:rsidRPr="00AD239A">
        <w:rPr>
          <w:rFonts w:ascii="Garamond" w:hAnsi="Garamond"/>
          <w:szCs w:val="22"/>
        </w:rPr>
        <w:t>.</w:t>
      </w:r>
      <w:r w:rsidR="00346643" w:rsidRPr="00AD239A">
        <w:rPr>
          <w:rFonts w:ascii="Garamond" w:hAnsi="Garamond"/>
          <w:szCs w:val="22"/>
        </w:rPr>
        <w:t xml:space="preserve"> Indeed, the </w:t>
      </w:r>
      <w:r w:rsidR="004414F0" w:rsidRPr="00AD239A">
        <w:rPr>
          <w:rFonts w:ascii="Garamond" w:hAnsi="Garamond"/>
          <w:szCs w:val="22"/>
        </w:rPr>
        <w:t xml:space="preserve">express </w:t>
      </w:r>
      <w:r w:rsidR="00346643" w:rsidRPr="00AD239A">
        <w:rPr>
          <w:rFonts w:ascii="Garamond" w:hAnsi="Garamond"/>
          <w:szCs w:val="22"/>
        </w:rPr>
        <w:t xml:space="preserve">goal of the revised pleading standards in </w:t>
      </w:r>
      <w:r w:rsidR="00346643" w:rsidRPr="00AD239A">
        <w:rPr>
          <w:rFonts w:ascii="Garamond" w:hAnsi="Garamond"/>
          <w:i/>
          <w:szCs w:val="22"/>
        </w:rPr>
        <w:lastRenderedPageBreak/>
        <w:t>Iqbal</w:t>
      </w:r>
      <w:r w:rsidR="00346643" w:rsidRPr="00AD239A">
        <w:rPr>
          <w:rFonts w:ascii="Garamond" w:hAnsi="Garamond"/>
          <w:szCs w:val="22"/>
        </w:rPr>
        <w:t xml:space="preserve"> was to keep cases more cases out of discovery,</w:t>
      </w:r>
      <w:r w:rsidR="004414F0" w:rsidRPr="00AD239A">
        <w:rPr>
          <w:rStyle w:val="FootnoteReference"/>
          <w:rFonts w:ascii="Garamond" w:hAnsi="Garamond"/>
          <w:szCs w:val="22"/>
        </w:rPr>
        <w:footnoteReference w:id="8"/>
      </w:r>
      <w:r w:rsidR="00346643" w:rsidRPr="00AD239A">
        <w:rPr>
          <w:rFonts w:ascii="Garamond" w:hAnsi="Garamond"/>
          <w:szCs w:val="22"/>
        </w:rPr>
        <w:t xml:space="preserve"> which is the </w:t>
      </w:r>
      <w:r w:rsidR="00F57F15" w:rsidRPr="00AD239A">
        <w:rPr>
          <w:rFonts w:ascii="Garamond" w:hAnsi="Garamond"/>
          <w:szCs w:val="22"/>
        </w:rPr>
        <w:t>necessarily</w:t>
      </w:r>
      <w:r w:rsidR="004D1FBF" w:rsidRPr="00AD239A">
        <w:rPr>
          <w:rFonts w:ascii="Garamond" w:hAnsi="Garamond"/>
          <w:szCs w:val="22"/>
        </w:rPr>
        <w:t xml:space="preserve"> prior </w:t>
      </w:r>
      <w:r w:rsidR="00F57F15" w:rsidRPr="00AD239A">
        <w:rPr>
          <w:rFonts w:ascii="Garamond" w:hAnsi="Garamond"/>
          <w:szCs w:val="22"/>
        </w:rPr>
        <w:t>process to</w:t>
      </w:r>
      <w:r w:rsidR="004D1FBF" w:rsidRPr="00AD239A">
        <w:rPr>
          <w:rFonts w:ascii="Garamond" w:hAnsi="Garamond"/>
          <w:szCs w:val="22"/>
        </w:rPr>
        <w:t xml:space="preserve"> summary judgment</w:t>
      </w:r>
      <w:r w:rsidR="00346643" w:rsidRPr="00AD239A">
        <w:rPr>
          <w:rFonts w:ascii="Garamond" w:hAnsi="Garamond"/>
          <w:szCs w:val="22"/>
        </w:rPr>
        <w:t>.</w:t>
      </w:r>
    </w:p>
    <w:p w14:paraId="1232F6A5" w14:textId="3443C07F" w:rsidR="00DF7AA5" w:rsidRPr="00AD239A" w:rsidRDefault="00164E9F" w:rsidP="003002A2">
      <w:pPr>
        <w:ind w:firstLine="360"/>
        <w:rPr>
          <w:rFonts w:ascii="Garamond" w:hAnsi="Garamond"/>
          <w:szCs w:val="22"/>
        </w:rPr>
      </w:pPr>
      <w:r w:rsidRPr="00AD239A">
        <w:rPr>
          <w:rFonts w:ascii="Garamond" w:hAnsi="Garamond"/>
          <w:szCs w:val="22"/>
        </w:rPr>
        <w:t xml:space="preserve">Prior to the October 2013 Term, </w:t>
      </w:r>
      <w:r w:rsidR="00F065FD" w:rsidRPr="00AD239A">
        <w:rPr>
          <w:rFonts w:ascii="Garamond" w:hAnsi="Garamond"/>
          <w:szCs w:val="22"/>
        </w:rPr>
        <w:t>the Roberts Court</w:t>
      </w:r>
      <w:r w:rsidRPr="00AD239A">
        <w:rPr>
          <w:rFonts w:ascii="Garamond" w:hAnsi="Garamond"/>
          <w:szCs w:val="22"/>
        </w:rPr>
        <w:t xml:space="preserve"> had</w:t>
      </w:r>
      <w:r w:rsidR="00DF7AA5" w:rsidRPr="00AD239A">
        <w:rPr>
          <w:rFonts w:ascii="Garamond" w:hAnsi="Garamond"/>
          <w:szCs w:val="22"/>
        </w:rPr>
        <w:t xml:space="preserve"> decided only one case focused </w:t>
      </w:r>
      <w:r w:rsidR="00584CE6" w:rsidRPr="00AD239A">
        <w:rPr>
          <w:rFonts w:ascii="Garamond" w:hAnsi="Garamond"/>
          <w:szCs w:val="22"/>
        </w:rPr>
        <w:t xml:space="preserve">specifically </w:t>
      </w:r>
      <w:r w:rsidR="00DF7AA5" w:rsidRPr="00AD239A">
        <w:rPr>
          <w:rFonts w:ascii="Garamond" w:hAnsi="Garamond"/>
          <w:szCs w:val="22"/>
        </w:rPr>
        <w:t>on the standards for summary judgment--</w:t>
      </w:r>
      <w:r w:rsidR="00DF7AA5" w:rsidRPr="00AD239A">
        <w:rPr>
          <w:rFonts w:ascii="Garamond" w:hAnsi="Garamond"/>
          <w:i/>
          <w:szCs w:val="22"/>
        </w:rPr>
        <w:t>Scott v. Harris</w:t>
      </w:r>
      <w:r w:rsidR="00DF7AA5" w:rsidRPr="00AD239A">
        <w:rPr>
          <w:rFonts w:ascii="Garamond" w:hAnsi="Garamond"/>
          <w:szCs w:val="22"/>
        </w:rPr>
        <w:t>, an 8-1 decision from 2007, in which the Court affirmed summary judgment for the defendant in a Fourth Amendment excessive-force case.</w:t>
      </w:r>
      <w:r w:rsidR="002575B1" w:rsidRPr="00AD239A">
        <w:rPr>
          <w:rStyle w:val="FootnoteReference"/>
          <w:rFonts w:ascii="Garamond" w:hAnsi="Garamond"/>
          <w:szCs w:val="22"/>
        </w:rPr>
        <w:footnoteReference w:id="9"/>
      </w:r>
      <w:r w:rsidR="00DF7AA5" w:rsidRPr="00AD239A">
        <w:rPr>
          <w:rFonts w:ascii="Garamond" w:hAnsi="Garamond"/>
          <w:szCs w:val="22"/>
        </w:rPr>
        <w:t xml:space="preserve"> </w:t>
      </w:r>
      <w:r w:rsidR="00DF7AA5" w:rsidRPr="00AD239A">
        <w:rPr>
          <w:rFonts w:ascii="Garamond" w:hAnsi="Garamond"/>
          <w:i/>
          <w:szCs w:val="22"/>
        </w:rPr>
        <w:t>Scott</w:t>
      </w:r>
      <w:r w:rsidR="00DF7AA5" w:rsidRPr="00AD239A">
        <w:rPr>
          <w:rFonts w:ascii="Garamond" w:hAnsi="Garamond"/>
          <w:szCs w:val="22"/>
        </w:rPr>
        <w:t xml:space="preserve"> is most notable for </w:t>
      </w:r>
      <w:r w:rsidR="008F6021" w:rsidRPr="00AD239A">
        <w:rPr>
          <w:rFonts w:ascii="Garamond" w:hAnsi="Garamond"/>
          <w:szCs w:val="22"/>
        </w:rPr>
        <w:t>establishing a unique role for video on summary judgment. T</w:t>
      </w:r>
      <w:r w:rsidR="00DF7AA5" w:rsidRPr="00AD239A">
        <w:rPr>
          <w:rFonts w:ascii="Garamond" w:hAnsi="Garamond"/>
          <w:szCs w:val="22"/>
        </w:rPr>
        <w:t xml:space="preserve">he majority insisted that video of a </w:t>
      </w:r>
      <w:r w:rsidR="004B177A" w:rsidRPr="00AD239A">
        <w:rPr>
          <w:rFonts w:ascii="Garamond" w:hAnsi="Garamond"/>
          <w:szCs w:val="22"/>
        </w:rPr>
        <w:t xml:space="preserve">high-speed </w:t>
      </w:r>
      <w:r w:rsidR="00DF7AA5" w:rsidRPr="00AD239A">
        <w:rPr>
          <w:rFonts w:ascii="Garamond" w:hAnsi="Garamond"/>
          <w:szCs w:val="22"/>
        </w:rPr>
        <w:t xml:space="preserve">car chase (taken from the squad </w:t>
      </w:r>
      <w:r w:rsidR="00C077D6" w:rsidRPr="00AD239A">
        <w:rPr>
          <w:rFonts w:ascii="Garamond" w:hAnsi="Garamond"/>
          <w:szCs w:val="22"/>
        </w:rPr>
        <w:t>car’s dashboard camera) “speak</w:t>
      </w:r>
      <w:r w:rsidR="00DF7AA5" w:rsidRPr="00AD239A">
        <w:rPr>
          <w:rFonts w:ascii="Garamond" w:hAnsi="Garamond"/>
          <w:szCs w:val="22"/>
        </w:rPr>
        <w:t xml:space="preserve">s for itself,” </w:t>
      </w:r>
      <w:r w:rsidR="00EF2121" w:rsidRPr="00AD239A">
        <w:rPr>
          <w:rFonts w:ascii="Garamond" w:hAnsi="Garamond"/>
          <w:szCs w:val="22"/>
        </w:rPr>
        <w:t>carrying</w:t>
      </w:r>
      <w:r w:rsidR="00DF7AA5" w:rsidRPr="00AD239A">
        <w:rPr>
          <w:rFonts w:ascii="Garamond" w:hAnsi="Garamond"/>
          <w:szCs w:val="22"/>
        </w:rPr>
        <w:t xml:space="preserve"> one obvious</w:t>
      </w:r>
      <w:r w:rsidR="00795FF4" w:rsidRPr="00AD239A">
        <w:rPr>
          <w:rFonts w:ascii="Garamond" w:hAnsi="Garamond"/>
          <w:szCs w:val="22"/>
        </w:rPr>
        <w:t xml:space="preserve"> and clear</w:t>
      </w:r>
      <w:r w:rsidR="00DF7AA5" w:rsidRPr="00AD239A">
        <w:rPr>
          <w:rFonts w:ascii="Garamond" w:hAnsi="Garamond"/>
          <w:szCs w:val="22"/>
        </w:rPr>
        <w:t xml:space="preserve"> meaning that a court on summary judgment could determine for itself. Despite Justice Stevens’ insistence in dissent that the Court was placing itself in the role of the jurors whose job it is to draw inferences from the evidence, the Court treated the video as capable of only one rational understanding</w:t>
      </w:r>
      <w:r w:rsidR="002323B3" w:rsidRPr="00AD239A">
        <w:rPr>
          <w:rFonts w:ascii="Garamond" w:hAnsi="Garamond"/>
          <w:szCs w:val="22"/>
        </w:rPr>
        <w:t>, meaning that there was only one rational conclusion a factfinder could reach</w:t>
      </w:r>
      <w:r w:rsidR="00DF7AA5" w:rsidRPr="00AD239A">
        <w:rPr>
          <w:rFonts w:ascii="Garamond" w:hAnsi="Garamond"/>
          <w:szCs w:val="22"/>
        </w:rPr>
        <w:t>. More problematically, the Court allowed</w:t>
      </w:r>
      <w:r w:rsidR="009F6F40" w:rsidRPr="00AD239A">
        <w:rPr>
          <w:rFonts w:ascii="Garamond" w:hAnsi="Garamond"/>
          <w:szCs w:val="22"/>
        </w:rPr>
        <w:t xml:space="preserve"> judges to disregard testimony and</w:t>
      </w:r>
      <w:r w:rsidR="00FA593D" w:rsidRPr="00AD239A">
        <w:rPr>
          <w:rFonts w:ascii="Garamond" w:hAnsi="Garamond"/>
          <w:szCs w:val="22"/>
        </w:rPr>
        <w:t xml:space="preserve"> any</w:t>
      </w:r>
      <w:r w:rsidR="009F6F40" w:rsidRPr="00AD239A">
        <w:rPr>
          <w:rFonts w:ascii="Garamond" w:hAnsi="Garamond"/>
          <w:szCs w:val="22"/>
        </w:rPr>
        <w:t xml:space="preserve"> other evidence “</w:t>
      </w:r>
      <w:r w:rsidR="00C5254A" w:rsidRPr="00AD239A">
        <w:rPr>
          <w:rFonts w:ascii="Garamond" w:hAnsi="Garamond"/>
          <w:szCs w:val="22"/>
        </w:rPr>
        <w:t>blatantly</w:t>
      </w:r>
      <w:r w:rsidR="009F6F40" w:rsidRPr="00AD239A">
        <w:rPr>
          <w:rFonts w:ascii="Garamond" w:hAnsi="Garamond"/>
          <w:szCs w:val="22"/>
        </w:rPr>
        <w:t xml:space="preserve"> contradicted by the record,” meaning contradicted by the video and its singular message. Because video is so conclusive</w:t>
      </w:r>
      <w:r w:rsidR="00A214E3" w:rsidRPr="00AD239A">
        <w:rPr>
          <w:rFonts w:ascii="Garamond" w:hAnsi="Garamond"/>
          <w:szCs w:val="22"/>
        </w:rPr>
        <w:t xml:space="preserve"> and certain</w:t>
      </w:r>
      <w:r w:rsidR="009F6F40" w:rsidRPr="00AD239A">
        <w:rPr>
          <w:rFonts w:ascii="Garamond" w:hAnsi="Garamond"/>
          <w:szCs w:val="22"/>
        </w:rPr>
        <w:t xml:space="preserve">, </w:t>
      </w:r>
      <w:r w:rsidR="00FA593D" w:rsidRPr="00AD239A">
        <w:rPr>
          <w:rFonts w:ascii="Garamond" w:hAnsi="Garamond"/>
          <w:szCs w:val="22"/>
        </w:rPr>
        <w:t>non-video evidence purporting to contradict it</w:t>
      </w:r>
      <w:r w:rsidR="009F6F40" w:rsidRPr="00AD239A">
        <w:rPr>
          <w:rFonts w:ascii="Garamond" w:hAnsi="Garamond"/>
          <w:szCs w:val="22"/>
        </w:rPr>
        <w:t xml:space="preserve"> does not create </w:t>
      </w:r>
      <w:r w:rsidR="00A214E3" w:rsidRPr="00AD239A">
        <w:rPr>
          <w:rFonts w:ascii="Garamond" w:hAnsi="Garamond"/>
          <w:szCs w:val="22"/>
        </w:rPr>
        <w:t>factual disputes</w:t>
      </w:r>
      <w:r w:rsidR="009F6F40" w:rsidRPr="00AD239A">
        <w:rPr>
          <w:rFonts w:ascii="Garamond" w:hAnsi="Garamond"/>
          <w:szCs w:val="22"/>
        </w:rPr>
        <w:t xml:space="preserve">. Instead, such contradictory evidence merely creates a “metaphysical doubt” as to the facts, long recognized as insufficient </w:t>
      </w:r>
      <w:r w:rsidR="00A214E3" w:rsidRPr="00AD239A">
        <w:rPr>
          <w:rFonts w:ascii="Garamond" w:hAnsi="Garamond"/>
          <w:szCs w:val="22"/>
        </w:rPr>
        <w:t>to avoid summary judgment</w:t>
      </w:r>
      <w:r w:rsidR="009F6F40" w:rsidRPr="00AD239A">
        <w:rPr>
          <w:rFonts w:ascii="Garamond" w:hAnsi="Garamond"/>
          <w:szCs w:val="22"/>
        </w:rPr>
        <w:t>.</w:t>
      </w:r>
      <w:r w:rsidR="008468CF" w:rsidRPr="00AD239A">
        <w:rPr>
          <w:rStyle w:val="FootnoteReference"/>
          <w:rFonts w:ascii="Garamond" w:hAnsi="Garamond"/>
          <w:szCs w:val="22"/>
        </w:rPr>
        <w:footnoteReference w:id="10"/>
      </w:r>
    </w:p>
    <w:p w14:paraId="239E20DF" w14:textId="13AAB737" w:rsidR="00C86562" w:rsidRPr="00AD239A" w:rsidRDefault="00995934" w:rsidP="003002A2">
      <w:pPr>
        <w:ind w:firstLine="360"/>
        <w:rPr>
          <w:rFonts w:ascii="Garamond" w:hAnsi="Garamond"/>
          <w:szCs w:val="22"/>
        </w:rPr>
      </w:pPr>
      <w:r w:rsidRPr="00AD239A">
        <w:rPr>
          <w:rFonts w:ascii="Garamond" w:hAnsi="Garamond"/>
          <w:szCs w:val="22"/>
        </w:rPr>
        <w:t xml:space="preserve">The recent </w:t>
      </w:r>
      <w:r w:rsidR="00343325" w:rsidRPr="00AD239A">
        <w:rPr>
          <w:rFonts w:ascii="Garamond" w:hAnsi="Garamond"/>
          <w:szCs w:val="22"/>
        </w:rPr>
        <w:t>Supreme Court Term</w:t>
      </w:r>
      <w:r w:rsidRPr="00AD239A">
        <w:rPr>
          <w:rFonts w:ascii="Garamond" w:hAnsi="Garamond"/>
          <w:szCs w:val="22"/>
        </w:rPr>
        <w:t xml:space="preserve"> thus</w:t>
      </w:r>
      <w:r w:rsidR="00A214E3" w:rsidRPr="00AD239A">
        <w:rPr>
          <w:rFonts w:ascii="Garamond" w:hAnsi="Garamond"/>
          <w:szCs w:val="22"/>
        </w:rPr>
        <w:t xml:space="preserve"> was notable for the </w:t>
      </w:r>
      <w:r w:rsidR="009D17BF" w:rsidRPr="00AD239A">
        <w:rPr>
          <w:rFonts w:ascii="Garamond" w:hAnsi="Garamond"/>
          <w:szCs w:val="22"/>
        </w:rPr>
        <w:t>unexpected</w:t>
      </w:r>
      <w:r w:rsidR="00A214E3" w:rsidRPr="00AD239A">
        <w:rPr>
          <w:rFonts w:ascii="Garamond" w:hAnsi="Garamond"/>
          <w:szCs w:val="22"/>
        </w:rPr>
        <w:t xml:space="preserve"> return of summary judgment to the docket. The Court resolved, in some form, three cases squarely </w:t>
      </w:r>
      <w:r w:rsidR="009D17BF" w:rsidRPr="00AD239A">
        <w:rPr>
          <w:rFonts w:ascii="Garamond" w:hAnsi="Garamond"/>
          <w:szCs w:val="22"/>
        </w:rPr>
        <w:t>address</w:t>
      </w:r>
      <w:r w:rsidR="00BA5C85" w:rsidRPr="00AD239A">
        <w:rPr>
          <w:rFonts w:ascii="Garamond" w:hAnsi="Garamond"/>
          <w:szCs w:val="22"/>
        </w:rPr>
        <w:t xml:space="preserve"> questions</w:t>
      </w:r>
      <w:r w:rsidR="00A214E3" w:rsidRPr="00AD239A">
        <w:rPr>
          <w:rFonts w:ascii="Garamond" w:hAnsi="Garamond"/>
          <w:szCs w:val="22"/>
        </w:rPr>
        <w:t xml:space="preserve"> about the proper approach to summary judgment, all in Fourth Amendment excessive force cases</w:t>
      </w:r>
      <w:r w:rsidR="009D17BF" w:rsidRPr="00AD239A">
        <w:rPr>
          <w:rFonts w:ascii="Garamond" w:hAnsi="Garamond"/>
          <w:szCs w:val="22"/>
        </w:rPr>
        <w:t xml:space="preserve"> with qualified immunity defenses</w:t>
      </w:r>
      <w:r w:rsidR="00A214E3" w:rsidRPr="00AD239A">
        <w:rPr>
          <w:rFonts w:ascii="Garamond" w:hAnsi="Garamond"/>
          <w:szCs w:val="22"/>
        </w:rPr>
        <w:t xml:space="preserve">. The results were mixed and somewhat procedurally confounded. </w:t>
      </w:r>
      <w:r w:rsidR="007E22AF" w:rsidRPr="00AD239A">
        <w:rPr>
          <w:rFonts w:ascii="Garamond" w:hAnsi="Garamond"/>
          <w:szCs w:val="22"/>
        </w:rPr>
        <w:t>While</w:t>
      </w:r>
      <w:r w:rsidR="00A214E3" w:rsidRPr="00AD239A">
        <w:rPr>
          <w:rFonts w:ascii="Garamond" w:hAnsi="Garamond"/>
          <w:szCs w:val="22"/>
        </w:rPr>
        <w:t xml:space="preserve"> one of the cases arguably produced the first summary judgment victory for a civil rights plaintiff before the Court in quite some time</w:t>
      </w:r>
      <w:r w:rsidR="007E22AF" w:rsidRPr="00AD239A">
        <w:rPr>
          <w:rFonts w:ascii="Garamond" w:hAnsi="Garamond"/>
          <w:szCs w:val="22"/>
        </w:rPr>
        <w:t xml:space="preserve">, another largely reaffirmed </w:t>
      </w:r>
      <w:r w:rsidR="007E22AF" w:rsidRPr="00AD239A">
        <w:rPr>
          <w:rFonts w:ascii="Garamond" w:hAnsi="Garamond"/>
          <w:i/>
          <w:szCs w:val="22"/>
        </w:rPr>
        <w:t>Scott</w:t>
      </w:r>
      <w:r w:rsidR="007E22AF" w:rsidRPr="00AD239A">
        <w:rPr>
          <w:rFonts w:ascii="Garamond" w:hAnsi="Garamond"/>
          <w:szCs w:val="22"/>
        </w:rPr>
        <w:t>’s misuse of video evidence</w:t>
      </w:r>
      <w:r w:rsidR="00C86562" w:rsidRPr="00AD239A">
        <w:rPr>
          <w:rFonts w:ascii="Garamond" w:hAnsi="Garamond"/>
          <w:szCs w:val="22"/>
        </w:rPr>
        <w:t>.</w:t>
      </w:r>
    </w:p>
    <w:p w14:paraId="77908FBA" w14:textId="1E1AB53B" w:rsidR="00A214E3" w:rsidRPr="00AD239A" w:rsidRDefault="00A214E3" w:rsidP="003002A2">
      <w:pPr>
        <w:ind w:firstLine="360"/>
        <w:rPr>
          <w:rFonts w:ascii="Garamond" w:hAnsi="Garamond"/>
          <w:szCs w:val="22"/>
        </w:rPr>
      </w:pPr>
      <w:r w:rsidRPr="00AD239A">
        <w:rPr>
          <w:rFonts w:ascii="Garamond" w:hAnsi="Garamond"/>
          <w:szCs w:val="22"/>
        </w:rPr>
        <w:t>As we continue to grapple with the vanishing trial and the “double-whammy” of heightened pleading and defendant-friendly summary judgment,</w:t>
      </w:r>
      <w:r w:rsidR="003E7C64" w:rsidRPr="00AD239A">
        <w:rPr>
          <w:rStyle w:val="FootnoteReference"/>
          <w:rFonts w:ascii="Garamond" w:hAnsi="Garamond"/>
          <w:szCs w:val="22"/>
        </w:rPr>
        <w:footnoteReference w:id="11"/>
      </w:r>
      <w:r w:rsidRPr="00AD239A">
        <w:rPr>
          <w:rFonts w:ascii="Garamond" w:hAnsi="Garamond"/>
          <w:szCs w:val="22"/>
        </w:rPr>
        <w:t xml:space="preserve"> it is worth examining all three cases, and their contexts, in search of a better sense of the future of civil litigation.</w:t>
      </w:r>
    </w:p>
    <w:p w14:paraId="779CDE1A" w14:textId="77777777" w:rsidR="0017319E" w:rsidRPr="00AD239A" w:rsidRDefault="0017319E" w:rsidP="003002A2">
      <w:pPr>
        <w:ind w:firstLine="360"/>
        <w:rPr>
          <w:rFonts w:ascii="Garamond" w:hAnsi="Garamond"/>
          <w:szCs w:val="22"/>
        </w:rPr>
      </w:pPr>
    </w:p>
    <w:p w14:paraId="40AEE076" w14:textId="58017DF9" w:rsidR="0017319E" w:rsidRPr="00AD239A" w:rsidRDefault="0017319E" w:rsidP="0017319E">
      <w:pPr>
        <w:rPr>
          <w:rFonts w:ascii="Garamond" w:hAnsi="Garamond"/>
          <w:szCs w:val="22"/>
        </w:rPr>
      </w:pPr>
      <w:r w:rsidRPr="00AD239A">
        <w:rPr>
          <w:rFonts w:ascii="Garamond" w:hAnsi="Garamond"/>
          <w:b/>
          <w:szCs w:val="22"/>
        </w:rPr>
        <w:t xml:space="preserve">I. </w:t>
      </w:r>
      <w:r w:rsidRPr="00AD239A">
        <w:rPr>
          <w:rFonts w:ascii="Garamond" w:hAnsi="Garamond"/>
          <w:b/>
          <w:i/>
          <w:szCs w:val="22"/>
        </w:rPr>
        <w:t xml:space="preserve">Scott </w:t>
      </w:r>
      <w:r w:rsidRPr="00AD239A">
        <w:rPr>
          <w:rFonts w:ascii="Garamond" w:hAnsi="Garamond"/>
          <w:b/>
          <w:szCs w:val="22"/>
        </w:rPr>
        <w:t>Survives</w:t>
      </w:r>
    </w:p>
    <w:p w14:paraId="0FE5E26A" w14:textId="77777777" w:rsidR="0017319E" w:rsidRPr="00AD239A" w:rsidRDefault="0017319E" w:rsidP="003002A2">
      <w:pPr>
        <w:ind w:firstLine="360"/>
        <w:rPr>
          <w:rFonts w:ascii="Garamond" w:hAnsi="Garamond"/>
          <w:szCs w:val="22"/>
        </w:rPr>
      </w:pPr>
    </w:p>
    <w:p w14:paraId="4C4A98B1" w14:textId="2043074D" w:rsidR="0017319E" w:rsidRPr="00AD239A" w:rsidRDefault="0017319E" w:rsidP="001F6D89">
      <w:pPr>
        <w:ind w:firstLine="360"/>
        <w:rPr>
          <w:rFonts w:ascii="Garamond" w:hAnsi="Garamond"/>
          <w:szCs w:val="22"/>
        </w:rPr>
      </w:pPr>
      <w:r w:rsidRPr="00AD239A">
        <w:rPr>
          <w:rFonts w:ascii="Garamond" w:hAnsi="Garamond"/>
          <w:szCs w:val="22"/>
        </w:rPr>
        <w:t>The Court</w:t>
      </w:r>
      <w:r w:rsidR="003508FC" w:rsidRPr="00AD239A">
        <w:rPr>
          <w:rFonts w:ascii="Garamond" w:hAnsi="Garamond"/>
          <w:szCs w:val="22"/>
        </w:rPr>
        <w:t xml:space="preserve"> issued one fully briefed and argued </w:t>
      </w:r>
      <w:r w:rsidR="00B36C45" w:rsidRPr="00AD239A">
        <w:rPr>
          <w:rFonts w:ascii="Garamond" w:hAnsi="Garamond"/>
          <w:szCs w:val="22"/>
        </w:rPr>
        <w:t xml:space="preserve">plenary </w:t>
      </w:r>
      <w:r w:rsidR="003508FC" w:rsidRPr="00AD239A">
        <w:rPr>
          <w:rFonts w:ascii="Garamond" w:hAnsi="Garamond"/>
          <w:szCs w:val="22"/>
        </w:rPr>
        <w:t>statement on summary jud</w:t>
      </w:r>
      <w:r w:rsidR="00B36C45" w:rsidRPr="00AD239A">
        <w:rPr>
          <w:rFonts w:ascii="Garamond" w:hAnsi="Garamond"/>
          <w:szCs w:val="22"/>
        </w:rPr>
        <w:t xml:space="preserve">gment </w:t>
      </w:r>
      <w:r w:rsidR="003508FC" w:rsidRPr="00AD239A">
        <w:rPr>
          <w:rFonts w:ascii="Garamond" w:hAnsi="Garamond"/>
          <w:szCs w:val="22"/>
        </w:rPr>
        <w:t xml:space="preserve">in </w:t>
      </w:r>
      <w:r w:rsidR="003508FC" w:rsidRPr="00AD239A">
        <w:rPr>
          <w:rFonts w:ascii="Garamond" w:hAnsi="Garamond"/>
          <w:i/>
          <w:szCs w:val="22"/>
        </w:rPr>
        <w:t>Plumhoff v. Rickard</w:t>
      </w:r>
      <w:r w:rsidR="003508FC" w:rsidRPr="00AD239A">
        <w:rPr>
          <w:rFonts w:ascii="Garamond" w:hAnsi="Garamond"/>
          <w:szCs w:val="22"/>
        </w:rPr>
        <w:t>,</w:t>
      </w:r>
      <w:r w:rsidR="003449BC" w:rsidRPr="00AD239A">
        <w:rPr>
          <w:rStyle w:val="FootnoteReference"/>
          <w:rFonts w:ascii="Garamond" w:hAnsi="Garamond"/>
          <w:szCs w:val="22"/>
        </w:rPr>
        <w:footnoteReference w:id="12"/>
      </w:r>
      <w:r w:rsidR="003508FC" w:rsidRPr="00AD239A">
        <w:rPr>
          <w:rFonts w:ascii="Garamond" w:hAnsi="Garamond"/>
          <w:szCs w:val="22"/>
        </w:rPr>
        <w:t xml:space="preserve"> a case strikingly similar to </w:t>
      </w:r>
      <w:r w:rsidR="003508FC" w:rsidRPr="00AD239A">
        <w:rPr>
          <w:rFonts w:ascii="Garamond" w:hAnsi="Garamond"/>
          <w:i/>
          <w:szCs w:val="22"/>
        </w:rPr>
        <w:t>Scott</w:t>
      </w:r>
      <w:r w:rsidR="003508FC" w:rsidRPr="00AD239A">
        <w:rPr>
          <w:rFonts w:ascii="Garamond" w:hAnsi="Garamond"/>
          <w:szCs w:val="22"/>
        </w:rPr>
        <w:t xml:space="preserve">. Like </w:t>
      </w:r>
      <w:r w:rsidR="003508FC" w:rsidRPr="00AD239A">
        <w:rPr>
          <w:rFonts w:ascii="Garamond" w:hAnsi="Garamond"/>
          <w:i/>
          <w:szCs w:val="22"/>
        </w:rPr>
        <w:t>Scott</w:t>
      </w:r>
      <w:r w:rsidR="003508FC" w:rsidRPr="00AD239A">
        <w:rPr>
          <w:rFonts w:ascii="Garamond" w:hAnsi="Garamond"/>
          <w:szCs w:val="22"/>
        </w:rPr>
        <w:t>, it was an excessive-force claim arising from a high-speed chase</w:t>
      </w:r>
      <w:r w:rsidR="001D7A7B" w:rsidRPr="00AD239A">
        <w:rPr>
          <w:rFonts w:ascii="Garamond" w:hAnsi="Garamond"/>
          <w:szCs w:val="22"/>
        </w:rPr>
        <w:t>. The</w:t>
      </w:r>
      <w:r w:rsidR="00D063E8" w:rsidRPr="00AD239A">
        <w:rPr>
          <w:rFonts w:ascii="Garamond" w:hAnsi="Garamond"/>
          <w:szCs w:val="22"/>
        </w:rPr>
        <w:t xml:space="preserve"> chase</w:t>
      </w:r>
      <w:r w:rsidR="003508FC" w:rsidRPr="00AD239A">
        <w:rPr>
          <w:rFonts w:ascii="Garamond" w:hAnsi="Garamond"/>
          <w:szCs w:val="22"/>
        </w:rPr>
        <w:t xml:space="preserve"> </w:t>
      </w:r>
      <w:r w:rsidR="00D32A6B" w:rsidRPr="00AD239A">
        <w:rPr>
          <w:rFonts w:ascii="Garamond" w:hAnsi="Garamond"/>
          <w:szCs w:val="22"/>
        </w:rPr>
        <w:t xml:space="preserve">began with a routine traffic stop and went on </w:t>
      </w:r>
      <w:r w:rsidR="003508FC" w:rsidRPr="00AD239A">
        <w:rPr>
          <w:rFonts w:ascii="Garamond" w:hAnsi="Garamond"/>
          <w:szCs w:val="22"/>
        </w:rPr>
        <w:t xml:space="preserve">for some time </w:t>
      </w:r>
      <w:r w:rsidR="009D7151" w:rsidRPr="00AD239A">
        <w:rPr>
          <w:rFonts w:ascii="Garamond" w:hAnsi="Garamond"/>
          <w:szCs w:val="22"/>
        </w:rPr>
        <w:t xml:space="preserve">on </w:t>
      </w:r>
      <w:r w:rsidR="004A50C4" w:rsidRPr="00AD239A">
        <w:rPr>
          <w:rFonts w:ascii="Garamond" w:hAnsi="Garamond"/>
          <w:szCs w:val="22"/>
        </w:rPr>
        <w:t>the interstate and on city streets</w:t>
      </w:r>
      <w:r w:rsidR="002235D1" w:rsidRPr="00AD239A">
        <w:rPr>
          <w:rFonts w:ascii="Garamond" w:hAnsi="Garamond"/>
          <w:szCs w:val="22"/>
        </w:rPr>
        <w:t>,</w:t>
      </w:r>
      <w:r w:rsidR="009D7151" w:rsidRPr="00AD239A">
        <w:rPr>
          <w:rFonts w:ascii="Garamond" w:hAnsi="Garamond"/>
          <w:szCs w:val="22"/>
        </w:rPr>
        <w:t xml:space="preserve"> with six police cruisers in pursuit.</w:t>
      </w:r>
      <w:r w:rsidR="003508FC" w:rsidRPr="00AD239A">
        <w:rPr>
          <w:rFonts w:ascii="Garamond" w:hAnsi="Garamond"/>
          <w:szCs w:val="22"/>
        </w:rPr>
        <w:t xml:space="preserve"> </w:t>
      </w:r>
      <w:r w:rsidR="00B5094F" w:rsidRPr="00AD239A">
        <w:rPr>
          <w:rFonts w:ascii="Garamond" w:hAnsi="Garamond"/>
          <w:szCs w:val="22"/>
        </w:rPr>
        <w:t xml:space="preserve">The driver ultimately led police into a parking lot, where officers and squad cars surrounded him, </w:t>
      </w:r>
      <w:r w:rsidR="009929B1" w:rsidRPr="00AD239A">
        <w:rPr>
          <w:rFonts w:ascii="Garamond" w:hAnsi="Garamond"/>
          <w:szCs w:val="22"/>
        </w:rPr>
        <w:t>pausing, and perhaps ending, the</w:t>
      </w:r>
      <w:r w:rsidR="00B5094F" w:rsidRPr="00AD239A">
        <w:rPr>
          <w:rFonts w:ascii="Garamond" w:hAnsi="Garamond"/>
          <w:szCs w:val="22"/>
        </w:rPr>
        <w:t xml:space="preserve"> chase. </w:t>
      </w:r>
      <w:r w:rsidR="001D7A7B" w:rsidRPr="00AD239A">
        <w:rPr>
          <w:rFonts w:ascii="Garamond" w:hAnsi="Garamond"/>
          <w:szCs w:val="22"/>
        </w:rPr>
        <w:t>P</w:t>
      </w:r>
      <w:r w:rsidR="003508FC" w:rsidRPr="00AD239A">
        <w:rPr>
          <w:rFonts w:ascii="Garamond" w:hAnsi="Garamond"/>
          <w:szCs w:val="22"/>
        </w:rPr>
        <w:t xml:space="preserve">olice </w:t>
      </w:r>
      <w:r w:rsidR="00C62F5D" w:rsidRPr="00AD239A">
        <w:rPr>
          <w:rFonts w:ascii="Garamond" w:hAnsi="Garamond"/>
          <w:szCs w:val="22"/>
        </w:rPr>
        <w:t xml:space="preserve">again </w:t>
      </w:r>
      <w:r w:rsidR="009929B1" w:rsidRPr="00AD239A">
        <w:rPr>
          <w:rFonts w:ascii="Garamond" w:hAnsi="Garamond"/>
          <w:szCs w:val="22"/>
        </w:rPr>
        <w:t>used</w:t>
      </w:r>
      <w:r w:rsidR="003508FC" w:rsidRPr="00AD239A">
        <w:rPr>
          <w:rFonts w:ascii="Garamond" w:hAnsi="Garamond"/>
          <w:szCs w:val="22"/>
        </w:rPr>
        <w:t xml:space="preserve"> deadly force</w:t>
      </w:r>
      <w:r w:rsidR="009929B1" w:rsidRPr="00AD239A">
        <w:rPr>
          <w:rFonts w:ascii="Garamond" w:hAnsi="Garamond"/>
          <w:szCs w:val="22"/>
        </w:rPr>
        <w:t xml:space="preserve"> to conclude the chase</w:t>
      </w:r>
      <w:r w:rsidR="009D26D8" w:rsidRPr="00AD239A">
        <w:rPr>
          <w:rFonts w:ascii="Garamond" w:hAnsi="Garamond"/>
          <w:szCs w:val="22"/>
        </w:rPr>
        <w:t xml:space="preserve">--here, </w:t>
      </w:r>
      <w:r w:rsidR="00D063E8" w:rsidRPr="00AD239A">
        <w:rPr>
          <w:rFonts w:ascii="Garamond" w:hAnsi="Garamond"/>
          <w:szCs w:val="22"/>
        </w:rPr>
        <w:t>by</w:t>
      </w:r>
      <w:r w:rsidR="003508FC" w:rsidRPr="00AD239A">
        <w:rPr>
          <w:rFonts w:ascii="Garamond" w:hAnsi="Garamond"/>
          <w:szCs w:val="22"/>
        </w:rPr>
        <w:t xml:space="preserve"> firing fifteen shots into the car</w:t>
      </w:r>
      <w:r w:rsidR="00057FBC" w:rsidRPr="00AD239A">
        <w:rPr>
          <w:rFonts w:ascii="Garamond" w:hAnsi="Garamond"/>
          <w:szCs w:val="22"/>
        </w:rPr>
        <w:t xml:space="preserve"> and causing the driver to crash the car into a building</w:t>
      </w:r>
      <w:r w:rsidR="003508FC" w:rsidRPr="00AD239A">
        <w:rPr>
          <w:rFonts w:ascii="Garamond" w:hAnsi="Garamond"/>
          <w:szCs w:val="22"/>
        </w:rPr>
        <w:t>.</w:t>
      </w:r>
      <w:r w:rsidR="00AA5FEC" w:rsidRPr="00AD239A">
        <w:rPr>
          <w:rFonts w:ascii="Garamond" w:hAnsi="Garamond"/>
          <w:szCs w:val="22"/>
        </w:rPr>
        <w:t xml:space="preserve"> </w:t>
      </w:r>
      <w:r w:rsidR="00057FBC" w:rsidRPr="00AD239A">
        <w:rPr>
          <w:rFonts w:ascii="Garamond" w:hAnsi="Garamond"/>
          <w:szCs w:val="22"/>
        </w:rPr>
        <w:t xml:space="preserve">The shots were fired </w:t>
      </w:r>
      <w:r w:rsidR="00DC35E7" w:rsidRPr="00AD239A">
        <w:rPr>
          <w:rFonts w:ascii="Garamond" w:hAnsi="Garamond"/>
          <w:szCs w:val="22"/>
        </w:rPr>
        <w:t xml:space="preserve">when the driver did not get out of the car </w:t>
      </w:r>
      <w:r w:rsidR="000C2C55" w:rsidRPr="00AD239A">
        <w:rPr>
          <w:rFonts w:ascii="Garamond" w:hAnsi="Garamond"/>
          <w:szCs w:val="22"/>
        </w:rPr>
        <w:t>in the parking lot</w:t>
      </w:r>
      <w:r w:rsidR="002950A8" w:rsidRPr="00AD239A">
        <w:rPr>
          <w:rFonts w:ascii="Garamond" w:hAnsi="Garamond"/>
          <w:szCs w:val="22"/>
        </w:rPr>
        <w:t xml:space="preserve"> </w:t>
      </w:r>
      <w:r w:rsidR="00273541" w:rsidRPr="00AD239A">
        <w:rPr>
          <w:rFonts w:ascii="Garamond" w:hAnsi="Garamond"/>
          <w:szCs w:val="22"/>
        </w:rPr>
        <w:t>and</w:t>
      </w:r>
      <w:r w:rsidR="002C61BC" w:rsidRPr="00AD239A">
        <w:rPr>
          <w:rFonts w:ascii="Garamond" w:hAnsi="Garamond"/>
          <w:szCs w:val="22"/>
        </w:rPr>
        <w:t xml:space="preserve"> continued some </w:t>
      </w:r>
      <w:r w:rsidR="00EC44FA" w:rsidRPr="00AD239A">
        <w:rPr>
          <w:rFonts w:ascii="Garamond" w:hAnsi="Garamond"/>
          <w:szCs w:val="22"/>
        </w:rPr>
        <w:t>maneuvering</w:t>
      </w:r>
      <w:r w:rsidR="00DC35E7" w:rsidRPr="00AD239A">
        <w:rPr>
          <w:rFonts w:ascii="Garamond" w:hAnsi="Garamond"/>
          <w:szCs w:val="22"/>
        </w:rPr>
        <w:t xml:space="preserve">, ultimately </w:t>
      </w:r>
      <w:r w:rsidR="000C2C55" w:rsidRPr="00AD239A">
        <w:rPr>
          <w:rFonts w:ascii="Garamond" w:hAnsi="Garamond"/>
          <w:szCs w:val="22"/>
        </w:rPr>
        <w:t>driving out of the lot</w:t>
      </w:r>
      <w:r w:rsidR="00DC35E7" w:rsidRPr="00AD239A">
        <w:rPr>
          <w:rFonts w:ascii="Garamond" w:hAnsi="Garamond"/>
          <w:szCs w:val="22"/>
        </w:rPr>
        <w:t xml:space="preserve"> and back onto the street</w:t>
      </w:r>
      <w:r w:rsidR="0048310A" w:rsidRPr="00AD239A">
        <w:rPr>
          <w:rFonts w:ascii="Garamond" w:hAnsi="Garamond"/>
          <w:szCs w:val="22"/>
        </w:rPr>
        <w:t xml:space="preserve"> before crashing the car into a building</w:t>
      </w:r>
      <w:r w:rsidR="00DC35E7" w:rsidRPr="00AD239A">
        <w:rPr>
          <w:rFonts w:ascii="Garamond" w:hAnsi="Garamond"/>
          <w:szCs w:val="22"/>
        </w:rPr>
        <w:t xml:space="preserve">. </w:t>
      </w:r>
      <w:r w:rsidR="003508FC" w:rsidRPr="00AD239A">
        <w:rPr>
          <w:rFonts w:ascii="Garamond" w:hAnsi="Garamond"/>
          <w:szCs w:val="22"/>
        </w:rPr>
        <w:t xml:space="preserve">As in </w:t>
      </w:r>
      <w:r w:rsidR="003508FC" w:rsidRPr="00AD239A">
        <w:rPr>
          <w:rFonts w:ascii="Garamond" w:hAnsi="Garamond"/>
          <w:i/>
          <w:szCs w:val="22"/>
        </w:rPr>
        <w:t>Scott</w:t>
      </w:r>
      <w:r w:rsidR="003508FC" w:rsidRPr="00AD239A">
        <w:rPr>
          <w:rFonts w:ascii="Garamond" w:hAnsi="Garamond"/>
          <w:szCs w:val="22"/>
        </w:rPr>
        <w:t xml:space="preserve">, the </w:t>
      </w:r>
      <w:r w:rsidR="00236D7E" w:rsidRPr="00AD239A">
        <w:rPr>
          <w:rFonts w:ascii="Garamond" w:hAnsi="Garamond"/>
          <w:szCs w:val="22"/>
        </w:rPr>
        <w:t xml:space="preserve">entire </w:t>
      </w:r>
      <w:r w:rsidR="00F37B27" w:rsidRPr="00AD239A">
        <w:rPr>
          <w:rFonts w:ascii="Garamond" w:hAnsi="Garamond"/>
          <w:szCs w:val="22"/>
        </w:rPr>
        <w:t>thing</w:t>
      </w:r>
      <w:r w:rsidR="003508FC" w:rsidRPr="00AD239A">
        <w:rPr>
          <w:rFonts w:ascii="Garamond" w:hAnsi="Garamond"/>
          <w:szCs w:val="22"/>
        </w:rPr>
        <w:t xml:space="preserve"> was captured on video from the d</w:t>
      </w:r>
      <w:r w:rsidR="00057FBC" w:rsidRPr="00AD239A">
        <w:rPr>
          <w:rFonts w:ascii="Garamond" w:hAnsi="Garamond"/>
          <w:szCs w:val="22"/>
        </w:rPr>
        <w:t xml:space="preserve">ashcam of </w:t>
      </w:r>
      <w:r w:rsidR="00C33978" w:rsidRPr="00AD239A">
        <w:rPr>
          <w:rFonts w:ascii="Garamond" w:hAnsi="Garamond"/>
          <w:szCs w:val="22"/>
        </w:rPr>
        <w:t xml:space="preserve">a </w:t>
      </w:r>
      <w:r w:rsidR="00057FBC" w:rsidRPr="00AD239A">
        <w:rPr>
          <w:rFonts w:ascii="Garamond" w:hAnsi="Garamond"/>
          <w:szCs w:val="22"/>
        </w:rPr>
        <w:t xml:space="preserve">pursuing cruiser. Both the driver and passenger, his daughter, died from a combination of gunshot </w:t>
      </w:r>
      <w:r w:rsidR="0048310A" w:rsidRPr="00AD239A">
        <w:rPr>
          <w:rFonts w:ascii="Garamond" w:hAnsi="Garamond"/>
          <w:szCs w:val="22"/>
        </w:rPr>
        <w:t>wounds and injuries from the crash</w:t>
      </w:r>
      <w:r w:rsidR="00BF32E5" w:rsidRPr="00AD239A">
        <w:rPr>
          <w:rFonts w:ascii="Garamond" w:hAnsi="Garamond"/>
          <w:szCs w:val="22"/>
        </w:rPr>
        <w:t>.</w:t>
      </w:r>
      <w:r w:rsidR="00AA5FEC" w:rsidRPr="00AD239A">
        <w:rPr>
          <w:rStyle w:val="FootnoteReference"/>
          <w:rFonts w:ascii="Garamond" w:hAnsi="Garamond"/>
          <w:szCs w:val="22"/>
        </w:rPr>
        <w:footnoteReference w:id="13"/>
      </w:r>
    </w:p>
    <w:p w14:paraId="7CE2B447" w14:textId="4E9077E8" w:rsidR="003508FC" w:rsidRPr="00AD239A" w:rsidRDefault="00F831EE" w:rsidP="002F2EC5">
      <w:pPr>
        <w:ind w:firstLine="360"/>
        <w:rPr>
          <w:rFonts w:ascii="Garamond" w:hAnsi="Garamond"/>
          <w:szCs w:val="22"/>
        </w:rPr>
      </w:pPr>
      <w:r w:rsidRPr="00AD239A">
        <w:rPr>
          <w:rFonts w:ascii="Garamond" w:hAnsi="Garamond"/>
          <w:szCs w:val="22"/>
        </w:rPr>
        <w:t>The</w:t>
      </w:r>
      <w:r w:rsidR="003508FC" w:rsidRPr="00AD239A">
        <w:rPr>
          <w:rFonts w:ascii="Garamond" w:hAnsi="Garamond"/>
          <w:szCs w:val="22"/>
        </w:rPr>
        <w:t xml:space="preserve"> Court held that summary judgment for the defendant officer was proper in fairly short order (and without dissent)</w:t>
      </w:r>
      <w:r w:rsidR="002F2EC5" w:rsidRPr="00AD239A">
        <w:rPr>
          <w:rFonts w:ascii="Garamond" w:hAnsi="Garamond"/>
          <w:szCs w:val="22"/>
        </w:rPr>
        <w:t>, concluding that the officers</w:t>
      </w:r>
      <w:r w:rsidR="00567410" w:rsidRPr="00AD239A">
        <w:rPr>
          <w:rFonts w:ascii="Garamond" w:hAnsi="Garamond"/>
          <w:szCs w:val="22"/>
        </w:rPr>
        <w:t xml:space="preserve"> did not violate the plaintiff’s</w:t>
      </w:r>
      <w:r w:rsidR="002F2EC5" w:rsidRPr="00AD239A">
        <w:rPr>
          <w:rFonts w:ascii="Garamond" w:hAnsi="Garamond"/>
          <w:szCs w:val="22"/>
        </w:rPr>
        <w:t xml:space="preserve"> rights and that, in any event, </w:t>
      </w:r>
      <w:r w:rsidR="005E6611" w:rsidRPr="00AD239A">
        <w:rPr>
          <w:rFonts w:ascii="Garamond" w:hAnsi="Garamond"/>
          <w:szCs w:val="22"/>
        </w:rPr>
        <w:t xml:space="preserve">the officers were entitled to qualified immunity because </w:t>
      </w:r>
      <w:r w:rsidR="002F2EC5" w:rsidRPr="00AD239A">
        <w:rPr>
          <w:rFonts w:ascii="Garamond" w:hAnsi="Garamond"/>
          <w:szCs w:val="22"/>
        </w:rPr>
        <w:t>any right was not clearly established.</w:t>
      </w:r>
      <w:r w:rsidR="00E934CB" w:rsidRPr="00AD239A">
        <w:rPr>
          <w:rStyle w:val="FootnoteReference"/>
          <w:rFonts w:ascii="Garamond" w:hAnsi="Garamond"/>
          <w:szCs w:val="22"/>
        </w:rPr>
        <w:footnoteReference w:id="14"/>
      </w:r>
      <w:r w:rsidR="002F2EC5" w:rsidRPr="00AD239A">
        <w:rPr>
          <w:rFonts w:ascii="Garamond" w:hAnsi="Garamond"/>
          <w:szCs w:val="22"/>
        </w:rPr>
        <w:t xml:space="preserve"> F</w:t>
      </w:r>
      <w:r w:rsidR="003508FC" w:rsidRPr="00AD239A">
        <w:rPr>
          <w:rFonts w:ascii="Garamond" w:hAnsi="Garamond"/>
          <w:szCs w:val="22"/>
        </w:rPr>
        <w:t xml:space="preserve">rom the standpoint of plaintiffs’ </w:t>
      </w:r>
      <w:r w:rsidR="00D47CEC" w:rsidRPr="00AD239A">
        <w:rPr>
          <w:rFonts w:ascii="Garamond" w:hAnsi="Garamond"/>
          <w:szCs w:val="22"/>
        </w:rPr>
        <w:t xml:space="preserve">(especially civil rights plaintiffs’) </w:t>
      </w:r>
      <w:r w:rsidR="003508FC" w:rsidRPr="00AD239A">
        <w:rPr>
          <w:rFonts w:ascii="Garamond" w:hAnsi="Garamond"/>
          <w:szCs w:val="22"/>
        </w:rPr>
        <w:t>efforts to reign in summary judgmen</w:t>
      </w:r>
      <w:r w:rsidR="0083438F" w:rsidRPr="00AD239A">
        <w:rPr>
          <w:rFonts w:ascii="Garamond" w:hAnsi="Garamond"/>
          <w:szCs w:val="22"/>
        </w:rPr>
        <w:t xml:space="preserve">t, </w:t>
      </w:r>
      <w:r w:rsidR="003A1CA2" w:rsidRPr="00AD239A">
        <w:rPr>
          <w:rFonts w:ascii="Garamond" w:hAnsi="Garamond"/>
          <w:szCs w:val="22"/>
        </w:rPr>
        <w:t>however,</w:t>
      </w:r>
      <w:r w:rsidR="003508FC" w:rsidRPr="00AD239A">
        <w:rPr>
          <w:rFonts w:ascii="Garamond" w:hAnsi="Garamond"/>
          <w:szCs w:val="22"/>
        </w:rPr>
        <w:t xml:space="preserve"> </w:t>
      </w:r>
      <w:r w:rsidR="003508FC" w:rsidRPr="00AD239A">
        <w:rPr>
          <w:rFonts w:ascii="Garamond" w:hAnsi="Garamond"/>
          <w:i/>
          <w:szCs w:val="22"/>
        </w:rPr>
        <w:t>Plumhoff</w:t>
      </w:r>
      <w:r w:rsidR="003508FC" w:rsidRPr="00AD239A">
        <w:rPr>
          <w:rFonts w:ascii="Garamond" w:hAnsi="Garamond"/>
          <w:szCs w:val="22"/>
        </w:rPr>
        <w:t xml:space="preserve"> could have been worse.</w:t>
      </w:r>
    </w:p>
    <w:p w14:paraId="57BC5AB5" w14:textId="45AF9654" w:rsidR="003508FC" w:rsidRPr="00AD239A" w:rsidRDefault="003508FC" w:rsidP="003002A2">
      <w:pPr>
        <w:ind w:firstLine="360"/>
        <w:rPr>
          <w:rFonts w:ascii="Garamond" w:hAnsi="Garamond"/>
          <w:szCs w:val="22"/>
        </w:rPr>
      </w:pPr>
      <w:r w:rsidRPr="00AD239A">
        <w:rPr>
          <w:rFonts w:ascii="Garamond" w:hAnsi="Garamond"/>
          <w:szCs w:val="22"/>
        </w:rPr>
        <w:t xml:space="preserve">The bad of </w:t>
      </w:r>
      <w:r w:rsidRPr="00AD239A">
        <w:rPr>
          <w:rFonts w:ascii="Garamond" w:hAnsi="Garamond"/>
          <w:i/>
          <w:szCs w:val="22"/>
        </w:rPr>
        <w:t>Plumhoff</w:t>
      </w:r>
      <w:r w:rsidRPr="00AD239A">
        <w:rPr>
          <w:rFonts w:ascii="Garamond" w:hAnsi="Garamond"/>
          <w:szCs w:val="22"/>
        </w:rPr>
        <w:t xml:space="preserve"> is, </w:t>
      </w:r>
      <w:r w:rsidR="00A07BEC" w:rsidRPr="00AD239A">
        <w:rPr>
          <w:rFonts w:ascii="Garamond" w:hAnsi="Garamond"/>
          <w:szCs w:val="22"/>
        </w:rPr>
        <w:t xml:space="preserve">as in </w:t>
      </w:r>
      <w:r w:rsidR="00A07BEC" w:rsidRPr="00AD239A">
        <w:rPr>
          <w:rFonts w:ascii="Garamond" w:hAnsi="Garamond"/>
          <w:i/>
          <w:szCs w:val="22"/>
        </w:rPr>
        <w:t>Scott</w:t>
      </w:r>
      <w:r w:rsidRPr="00AD239A">
        <w:rPr>
          <w:rFonts w:ascii="Garamond" w:hAnsi="Garamond"/>
          <w:szCs w:val="22"/>
        </w:rPr>
        <w:t>, over-reliance on video.</w:t>
      </w:r>
      <w:r w:rsidR="00E2148D" w:rsidRPr="00AD239A">
        <w:rPr>
          <w:rFonts w:ascii="Garamond" w:hAnsi="Garamond"/>
          <w:szCs w:val="22"/>
        </w:rPr>
        <w:t xml:space="preserve"> </w:t>
      </w:r>
      <w:r w:rsidR="00390B5A" w:rsidRPr="00AD239A">
        <w:rPr>
          <w:rFonts w:ascii="Garamond" w:hAnsi="Garamond"/>
          <w:szCs w:val="22"/>
        </w:rPr>
        <w:t xml:space="preserve">The Court </w:t>
      </w:r>
      <w:r w:rsidRPr="00AD239A">
        <w:rPr>
          <w:rFonts w:ascii="Garamond" w:hAnsi="Garamond"/>
          <w:szCs w:val="22"/>
        </w:rPr>
        <w:t>describe</w:t>
      </w:r>
      <w:r w:rsidR="00DB41DC" w:rsidRPr="00AD239A">
        <w:rPr>
          <w:rFonts w:ascii="Garamond" w:hAnsi="Garamond"/>
          <w:szCs w:val="22"/>
        </w:rPr>
        <w:t>d</w:t>
      </w:r>
      <w:r w:rsidRPr="00AD239A">
        <w:rPr>
          <w:rFonts w:ascii="Garamond" w:hAnsi="Garamond"/>
          <w:szCs w:val="22"/>
        </w:rPr>
        <w:t xml:space="preserve"> at length what “happened” in the chase based on its viewing of the video--it characterize</w:t>
      </w:r>
      <w:r w:rsidR="00A23E2B" w:rsidRPr="00AD239A">
        <w:rPr>
          <w:rFonts w:ascii="Garamond" w:hAnsi="Garamond"/>
          <w:szCs w:val="22"/>
        </w:rPr>
        <w:t>d</w:t>
      </w:r>
      <w:r w:rsidRPr="00AD239A">
        <w:rPr>
          <w:rFonts w:ascii="Garamond" w:hAnsi="Garamond"/>
          <w:szCs w:val="22"/>
        </w:rPr>
        <w:t xml:space="preserve"> the driving as “outrageously reckless,” sp</w:t>
      </w:r>
      <w:r w:rsidR="00A23E2B" w:rsidRPr="00AD239A">
        <w:rPr>
          <w:rFonts w:ascii="Garamond" w:hAnsi="Garamond"/>
          <w:szCs w:val="22"/>
        </w:rPr>
        <w:t>oke</w:t>
      </w:r>
      <w:r w:rsidRPr="00AD239A">
        <w:rPr>
          <w:rFonts w:ascii="Garamond" w:hAnsi="Garamond"/>
          <w:szCs w:val="22"/>
        </w:rPr>
        <w:t xml:space="preserve"> of</w:t>
      </w:r>
      <w:r w:rsidR="00057FBC" w:rsidRPr="00AD239A">
        <w:rPr>
          <w:rFonts w:ascii="Garamond" w:hAnsi="Garamond"/>
          <w:szCs w:val="22"/>
        </w:rPr>
        <w:t xml:space="preserve"> cars </w:t>
      </w:r>
      <w:r w:rsidR="003F5EB4" w:rsidRPr="00AD239A">
        <w:rPr>
          <w:rFonts w:ascii="Garamond" w:hAnsi="Garamond"/>
          <w:szCs w:val="22"/>
        </w:rPr>
        <w:t xml:space="preserve">on the road </w:t>
      </w:r>
      <w:r w:rsidR="00946A96" w:rsidRPr="00AD239A">
        <w:rPr>
          <w:rFonts w:ascii="Garamond" w:hAnsi="Garamond"/>
          <w:szCs w:val="22"/>
        </w:rPr>
        <w:t xml:space="preserve">“forc[ed] to </w:t>
      </w:r>
      <w:r w:rsidR="00057FBC" w:rsidRPr="00AD239A">
        <w:rPr>
          <w:rFonts w:ascii="Garamond" w:hAnsi="Garamond"/>
          <w:szCs w:val="22"/>
        </w:rPr>
        <w:t xml:space="preserve">alter course” </w:t>
      </w:r>
      <w:r w:rsidR="006207C8" w:rsidRPr="00AD239A">
        <w:rPr>
          <w:rFonts w:ascii="Garamond" w:hAnsi="Garamond"/>
          <w:szCs w:val="22"/>
        </w:rPr>
        <w:t>to avoid the cars in  the pursuit</w:t>
      </w:r>
      <w:r w:rsidR="00057FBC" w:rsidRPr="00AD239A">
        <w:rPr>
          <w:rFonts w:ascii="Garamond" w:hAnsi="Garamond"/>
          <w:szCs w:val="22"/>
        </w:rPr>
        <w:t xml:space="preserve">, </w:t>
      </w:r>
      <w:r w:rsidR="007206D4" w:rsidRPr="00AD239A">
        <w:rPr>
          <w:rFonts w:ascii="Garamond" w:hAnsi="Garamond"/>
          <w:szCs w:val="22"/>
        </w:rPr>
        <w:t>s</w:t>
      </w:r>
      <w:r w:rsidR="00646251" w:rsidRPr="00AD239A">
        <w:rPr>
          <w:rFonts w:ascii="Garamond" w:hAnsi="Garamond"/>
          <w:szCs w:val="22"/>
        </w:rPr>
        <w:t>aw</w:t>
      </w:r>
      <w:r w:rsidR="007206D4" w:rsidRPr="00AD239A">
        <w:rPr>
          <w:rFonts w:ascii="Garamond" w:hAnsi="Garamond"/>
          <w:szCs w:val="22"/>
        </w:rPr>
        <w:t xml:space="preserve"> the driver</w:t>
      </w:r>
      <w:r w:rsidR="007E6CE4" w:rsidRPr="00AD239A">
        <w:rPr>
          <w:rFonts w:ascii="Garamond" w:hAnsi="Garamond"/>
          <w:szCs w:val="22"/>
        </w:rPr>
        <w:t xml:space="preserve"> in the parking lot</w:t>
      </w:r>
      <w:r w:rsidR="00057FBC" w:rsidRPr="00AD239A">
        <w:rPr>
          <w:rFonts w:ascii="Garamond" w:hAnsi="Garamond"/>
          <w:szCs w:val="22"/>
        </w:rPr>
        <w:t xml:space="preserve"> “obviously pushing down on the accelerator because the car’s wheels were spinning” with the bumper flush against a police cruiser, and describe</w:t>
      </w:r>
      <w:r w:rsidR="004C7C3F" w:rsidRPr="00AD239A">
        <w:rPr>
          <w:rFonts w:ascii="Garamond" w:hAnsi="Garamond"/>
          <w:szCs w:val="22"/>
        </w:rPr>
        <w:t>d</w:t>
      </w:r>
      <w:r w:rsidR="00057FBC" w:rsidRPr="00AD239A">
        <w:rPr>
          <w:rFonts w:ascii="Garamond" w:hAnsi="Garamond"/>
          <w:szCs w:val="22"/>
        </w:rPr>
        <w:t xml:space="preserve"> him making “’an attempt to escape.’” From this, the Court </w:t>
      </w:r>
      <w:r w:rsidR="002414B9" w:rsidRPr="00AD239A">
        <w:rPr>
          <w:rFonts w:ascii="Garamond" w:hAnsi="Garamond"/>
          <w:szCs w:val="22"/>
        </w:rPr>
        <w:t xml:space="preserve">insisted </w:t>
      </w:r>
      <w:r w:rsidR="00057FBC" w:rsidRPr="00AD239A">
        <w:rPr>
          <w:rFonts w:ascii="Garamond" w:hAnsi="Garamond"/>
          <w:szCs w:val="22"/>
        </w:rPr>
        <w:t>that the “record conclusively disproves respondent’s claim that the chase in the present case was already over when [the officers] began shooting.”</w:t>
      </w:r>
      <w:r w:rsidR="001D3919" w:rsidRPr="00AD239A">
        <w:rPr>
          <w:rStyle w:val="FootnoteReference"/>
          <w:rFonts w:ascii="Garamond" w:hAnsi="Garamond"/>
          <w:szCs w:val="22"/>
        </w:rPr>
        <w:footnoteReference w:id="15"/>
      </w:r>
      <w:r w:rsidR="00D35E76" w:rsidRPr="00AD239A">
        <w:rPr>
          <w:rFonts w:ascii="Garamond" w:hAnsi="Garamond"/>
          <w:szCs w:val="22"/>
        </w:rPr>
        <w:t xml:space="preserve"> </w:t>
      </w:r>
    </w:p>
    <w:p w14:paraId="4497ED44" w14:textId="4CF2A7BE" w:rsidR="00057FBC" w:rsidRPr="00AD239A" w:rsidRDefault="00AC4E53" w:rsidP="003002A2">
      <w:pPr>
        <w:ind w:firstLine="360"/>
        <w:rPr>
          <w:rFonts w:ascii="Garamond" w:eastAsia="Times New Roman" w:hAnsi="Garamond" w:cs="Times New Roman"/>
          <w:szCs w:val="22"/>
        </w:rPr>
      </w:pPr>
      <w:r w:rsidRPr="00AD239A">
        <w:rPr>
          <w:rFonts w:ascii="Garamond" w:hAnsi="Garamond"/>
          <w:szCs w:val="22"/>
        </w:rPr>
        <w:t>The Court consciously grounded its</w:t>
      </w:r>
      <w:r w:rsidR="00057FBC" w:rsidRPr="00AD239A">
        <w:rPr>
          <w:rFonts w:ascii="Garamond" w:hAnsi="Garamond"/>
          <w:szCs w:val="22"/>
        </w:rPr>
        <w:t xml:space="preserve"> analysis in </w:t>
      </w:r>
      <w:r w:rsidR="00057FBC" w:rsidRPr="00AD239A">
        <w:rPr>
          <w:rFonts w:ascii="Garamond" w:hAnsi="Garamond"/>
          <w:i/>
          <w:szCs w:val="22"/>
        </w:rPr>
        <w:t>Scott</w:t>
      </w:r>
      <w:r w:rsidR="006937FB" w:rsidRPr="00AD239A">
        <w:rPr>
          <w:rFonts w:ascii="Garamond" w:hAnsi="Garamond"/>
          <w:szCs w:val="22"/>
        </w:rPr>
        <w:t xml:space="preserve">. While it did not insist that video </w:t>
      </w:r>
      <w:r w:rsidR="0086616C" w:rsidRPr="00AD239A">
        <w:rPr>
          <w:rFonts w:ascii="Garamond" w:hAnsi="Garamond"/>
          <w:szCs w:val="22"/>
        </w:rPr>
        <w:t>can “speak</w:t>
      </w:r>
      <w:r w:rsidR="006937FB" w:rsidRPr="00AD239A">
        <w:rPr>
          <w:rFonts w:ascii="Garamond" w:hAnsi="Garamond"/>
          <w:szCs w:val="22"/>
        </w:rPr>
        <w:t xml:space="preserve"> for itself” and did not include a URL link to the video,</w:t>
      </w:r>
      <w:r w:rsidR="006937FB" w:rsidRPr="00AD239A">
        <w:rPr>
          <w:rStyle w:val="FootnoteReference"/>
          <w:rFonts w:ascii="Garamond" w:hAnsi="Garamond"/>
          <w:szCs w:val="22"/>
        </w:rPr>
        <w:footnoteReference w:id="16"/>
      </w:r>
      <w:r w:rsidR="006937FB" w:rsidRPr="00AD239A">
        <w:rPr>
          <w:rFonts w:ascii="Garamond" w:hAnsi="Garamond"/>
          <w:szCs w:val="22"/>
        </w:rPr>
        <w:t xml:space="preserve"> it </w:t>
      </w:r>
      <w:r w:rsidRPr="00AD239A">
        <w:rPr>
          <w:rFonts w:ascii="Garamond" w:hAnsi="Garamond"/>
          <w:szCs w:val="22"/>
        </w:rPr>
        <w:t>insist</w:t>
      </w:r>
      <w:r w:rsidR="006937FB" w:rsidRPr="00AD239A">
        <w:rPr>
          <w:rFonts w:ascii="Garamond" w:hAnsi="Garamond"/>
          <w:szCs w:val="22"/>
        </w:rPr>
        <w:t>ed</w:t>
      </w:r>
      <w:r w:rsidRPr="00AD239A">
        <w:rPr>
          <w:rFonts w:ascii="Garamond" w:hAnsi="Garamond"/>
          <w:szCs w:val="22"/>
        </w:rPr>
        <w:t xml:space="preserve"> that </w:t>
      </w:r>
      <w:r w:rsidR="009151BD" w:rsidRPr="00AD239A">
        <w:rPr>
          <w:rFonts w:ascii="Garamond" w:hAnsi="Garamond"/>
          <w:szCs w:val="22"/>
        </w:rPr>
        <w:t xml:space="preserve">there was no reason to reach a different </w:t>
      </w:r>
      <w:r w:rsidR="00E10131" w:rsidRPr="00AD239A">
        <w:rPr>
          <w:rFonts w:ascii="Garamond" w:hAnsi="Garamond"/>
          <w:szCs w:val="22"/>
        </w:rPr>
        <w:t>result, given the similar presence of a dashcam video</w:t>
      </w:r>
      <w:r w:rsidR="009151BD" w:rsidRPr="00AD239A">
        <w:rPr>
          <w:rFonts w:ascii="Garamond" w:hAnsi="Garamond"/>
          <w:szCs w:val="22"/>
        </w:rPr>
        <w:t>.</w:t>
      </w:r>
      <w:r w:rsidR="00D66B4B" w:rsidRPr="00AD239A">
        <w:rPr>
          <w:rStyle w:val="FootnoteReference"/>
          <w:rFonts w:ascii="Garamond" w:hAnsi="Garamond"/>
          <w:szCs w:val="22"/>
        </w:rPr>
        <w:footnoteReference w:id="17"/>
      </w:r>
      <w:r w:rsidR="009151BD" w:rsidRPr="00AD239A">
        <w:rPr>
          <w:rFonts w:ascii="Garamond" w:hAnsi="Garamond"/>
          <w:szCs w:val="22"/>
        </w:rPr>
        <w:t xml:space="preserve"> </w:t>
      </w:r>
      <w:r w:rsidR="00395502" w:rsidRPr="00AD239A">
        <w:rPr>
          <w:rFonts w:ascii="Garamond" w:eastAsia="Times New Roman" w:hAnsi="Garamond" w:cs="Times New Roman"/>
          <w:szCs w:val="22"/>
        </w:rPr>
        <w:t xml:space="preserve">As in </w:t>
      </w:r>
      <w:r w:rsidR="00395502" w:rsidRPr="00AD239A">
        <w:rPr>
          <w:rFonts w:ascii="Garamond" w:eastAsia="Times New Roman" w:hAnsi="Garamond" w:cs="Times New Roman"/>
          <w:i/>
          <w:szCs w:val="22"/>
        </w:rPr>
        <w:t>Scott</w:t>
      </w:r>
      <w:r w:rsidR="00395502" w:rsidRPr="00AD239A">
        <w:rPr>
          <w:rFonts w:ascii="Garamond" w:eastAsia="Times New Roman" w:hAnsi="Garamond" w:cs="Times New Roman"/>
          <w:szCs w:val="22"/>
        </w:rPr>
        <w:t xml:space="preserve">, </w:t>
      </w:r>
      <w:r w:rsidR="007417A4" w:rsidRPr="00AD239A">
        <w:rPr>
          <w:rFonts w:ascii="Garamond" w:eastAsia="Times New Roman" w:hAnsi="Garamond" w:cs="Times New Roman"/>
          <w:szCs w:val="22"/>
        </w:rPr>
        <w:t>the Court drew conclusions and inferences about what the video “showed.” They understood</w:t>
      </w:r>
      <w:r w:rsidR="00DD05F7" w:rsidRPr="00AD239A">
        <w:rPr>
          <w:rFonts w:ascii="Garamond" w:eastAsia="Times New Roman" w:hAnsi="Garamond" w:cs="Times New Roman"/>
          <w:szCs w:val="22"/>
        </w:rPr>
        <w:t xml:space="preserve"> the </w:t>
      </w:r>
      <w:r w:rsidR="00395502" w:rsidRPr="00AD239A">
        <w:rPr>
          <w:rFonts w:ascii="Garamond" w:eastAsia="Times New Roman" w:hAnsi="Garamond" w:cs="Times New Roman"/>
          <w:szCs w:val="22"/>
        </w:rPr>
        <w:t xml:space="preserve">video </w:t>
      </w:r>
      <w:r w:rsidR="00A502F8" w:rsidRPr="00AD239A">
        <w:rPr>
          <w:rFonts w:ascii="Garamond" w:eastAsia="Times New Roman" w:hAnsi="Garamond" w:cs="Times New Roman"/>
          <w:szCs w:val="22"/>
        </w:rPr>
        <w:t>as</w:t>
      </w:r>
      <w:r w:rsidR="00395502" w:rsidRPr="00AD239A">
        <w:rPr>
          <w:rFonts w:ascii="Garamond" w:eastAsia="Times New Roman" w:hAnsi="Garamond" w:cs="Times New Roman"/>
          <w:szCs w:val="22"/>
        </w:rPr>
        <w:t xml:space="preserve"> necessarily and unavoidably one-sided, capable of only one mea</w:t>
      </w:r>
      <w:r w:rsidR="000F04FB" w:rsidRPr="00AD239A">
        <w:rPr>
          <w:rFonts w:ascii="Garamond" w:eastAsia="Times New Roman" w:hAnsi="Garamond" w:cs="Times New Roman"/>
          <w:szCs w:val="22"/>
        </w:rPr>
        <w:t xml:space="preserve">ning and telling only one story--the chase </w:t>
      </w:r>
      <w:r w:rsidR="003A1B9C" w:rsidRPr="00AD239A">
        <w:rPr>
          <w:rFonts w:ascii="Garamond" w:eastAsia="Times New Roman" w:hAnsi="Garamond" w:cs="Times New Roman"/>
          <w:szCs w:val="22"/>
        </w:rPr>
        <w:t>had not ended</w:t>
      </w:r>
      <w:r w:rsidR="00175250" w:rsidRPr="00AD239A">
        <w:rPr>
          <w:rFonts w:ascii="Garamond" w:eastAsia="Times New Roman" w:hAnsi="Garamond" w:cs="Times New Roman"/>
          <w:szCs w:val="22"/>
        </w:rPr>
        <w:t xml:space="preserve"> and was still ongoing even in the parking lot because the driver was still</w:t>
      </w:r>
      <w:r w:rsidR="000F04FB" w:rsidRPr="00AD239A">
        <w:rPr>
          <w:rFonts w:ascii="Garamond" w:eastAsia="Times New Roman" w:hAnsi="Garamond" w:cs="Times New Roman"/>
          <w:szCs w:val="22"/>
        </w:rPr>
        <w:t xml:space="preserve"> </w:t>
      </w:r>
      <w:r w:rsidR="00175250" w:rsidRPr="00AD239A">
        <w:rPr>
          <w:rFonts w:ascii="Garamond" w:eastAsia="Times New Roman" w:hAnsi="Garamond" w:cs="Times New Roman"/>
          <w:szCs w:val="22"/>
        </w:rPr>
        <w:t>maneuvering and trying</w:t>
      </w:r>
      <w:r w:rsidR="00103DCF" w:rsidRPr="00AD239A">
        <w:rPr>
          <w:rFonts w:ascii="Garamond" w:eastAsia="Times New Roman" w:hAnsi="Garamond" w:cs="Times New Roman"/>
          <w:szCs w:val="22"/>
        </w:rPr>
        <w:t>, or at least looking,</w:t>
      </w:r>
      <w:r w:rsidR="00175250" w:rsidRPr="00AD239A">
        <w:rPr>
          <w:rFonts w:ascii="Garamond" w:eastAsia="Times New Roman" w:hAnsi="Garamond" w:cs="Times New Roman"/>
          <w:szCs w:val="22"/>
        </w:rPr>
        <w:t xml:space="preserve"> to escape capture.</w:t>
      </w:r>
      <w:r w:rsidR="00391957" w:rsidRPr="00AD239A">
        <w:rPr>
          <w:rFonts w:ascii="Garamond" w:eastAsia="Times New Roman" w:hAnsi="Garamond" w:cs="Times New Roman"/>
          <w:szCs w:val="22"/>
        </w:rPr>
        <w:t xml:space="preserve"> Police thus </w:t>
      </w:r>
      <w:r w:rsidR="00C56759" w:rsidRPr="00AD239A">
        <w:rPr>
          <w:rFonts w:ascii="Garamond" w:eastAsia="Times New Roman" w:hAnsi="Garamond" w:cs="Times New Roman"/>
          <w:szCs w:val="22"/>
        </w:rPr>
        <w:t>did not act unreasonably</w:t>
      </w:r>
      <w:r w:rsidR="0056155B" w:rsidRPr="00AD239A">
        <w:rPr>
          <w:rFonts w:ascii="Garamond" w:eastAsia="Times New Roman" w:hAnsi="Garamond" w:cs="Times New Roman"/>
          <w:szCs w:val="22"/>
        </w:rPr>
        <w:t xml:space="preserve"> in using deadly force at that point because the chase, and </w:t>
      </w:r>
      <w:r w:rsidR="00B92E9A" w:rsidRPr="00AD239A">
        <w:rPr>
          <w:rFonts w:ascii="Garamond" w:eastAsia="Times New Roman" w:hAnsi="Garamond" w:cs="Times New Roman"/>
          <w:szCs w:val="22"/>
        </w:rPr>
        <w:t>the threat to public safety,</w:t>
      </w:r>
      <w:r w:rsidR="00C61B68" w:rsidRPr="00AD239A">
        <w:rPr>
          <w:rFonts w:ascii="Garamond" w:eastAsia="Times New Roman" w:hAnsi="Garamond" w:cs="Times New Roman"/>
          <w:szCs w:val="22"/>
        </w:rPr>
        <w:t xml:space="preserve"> </w:t>
      </w:r>
      <w:r w:rsidR="0056155B" w:rsidRPr="00AD239A">
        <w:rPr>
          <w:rFonts w:ascii="Garamond" w:eastAsia="Times New Roman" w:hAnsi="Garamond" w:cs="Times New Roman"/>
          <w:szCs w:val="22"/>
        </w:rPr>
        <w:t>was ongoing</w:t>
      </w:r>
      <w:r w:rsidR="00C61B68" w:rsidRPr="00AD239A">
        <w:rPr>
          <w:rFonts w:ascii="Garamond" w:eastAsia="Times New Roman" w:hAnsi="Garamond" w:cs="Times New Roman"/>
          <w:szCs w:val="22"/>
        </w:rPr>
        <w:t>.</w:t>
      </w:r>
      <w:r w:rsidR="00957B91" w:rsidRPr="00AD239A">
        <w:rPr>
          <w:rStyle w:val="FootnoteReference"/>
          <w:rFonts w:ascii="Garamond" w:eastAsia="Times New Roman" w:hAnsi="Garamond" w:cs="Times New Roman"/>
          <w:szCs w:val="22"/>
        </w:rPr>
        <w:t xml:space="preserve"> </w:t>
      </w:r>
      <w:r w:rsidR="00957B91" w:rsidRPr="00AD239A">
        <w:rPr>
          <w:rStyle w:val="FootnoteReference"/>
          <w:rFonts w:ascii="Garamond" w:eastAsia="Times New Roman" w:hAnsi="Garamond" w:cs="Times New Roman"/>
          <w:szCs w:val="22"/>
        </w:rPr>
        <w:footnoteReference w:id="18"/>
      </w:r>
    </w:p>
    <w:p w14:paraId="5DBFC883" w14:textId="3766156D" w:rsidR="00395502" w:rsidRPr="00AD239A" w:rsidRDefault="00395502" w:rsidP="003002A2">
      <w:pPr>
        <w:ind w:firstLine="360"/>
        <w:rPr>
          <w:rFonts w:ascii="Garamond" w:eastAsia="Times New Roman" w:hAnsi="Garamond" w:cs="Times New Roman"/>
          <w:szCs w:val="22"/>
        </w:rPr>
      </w:pPr>
      <w:r w:rsidRPr="00AD239A">
        <w:rPr>
          <w:rFonts w:ascii="Garamond" w:eastAsia="Times New Roman" w:hAnsi="Garamond" w:cs="Times New Roman"/>
          <w:szCs w:val="22"/>
        </w:rPr>
        <w:t>The problems with this approach to video evidence on summary judgment have been described at length elsewhere.</w:t>
      </w:r>
      <w:r w:rsidR="005065EB" w:rsidRPr="00AD239A">
        <w:rPr>
          <w:rFonts w:ascii="Garamond" w:eastAsia="Times New Roman" w:hAnsi="Garamond" w:cs="Times New Roman"/>
          <w:szCs w:val="22"/>
        </w:rPr>
        <w:t xml:space="preserve"> One is that video does not, as </w:t>
      </w:r>
      <w:r w:rsidR="005065EB" w:rsidRPr="00AD239A">
        <w:rPr>
          <w:rFonts w:ascii="Garamond" w:eastAsia="Times New Roman" w:hAnsi="Garamond" w:cs="Times New Roman"/>
          <w:i/>
          <w:szCs w:val="22"/>
        </w:rPr>
        <w:t>Scott</w:t>
      </w:r>
      <w:r w:rsidR="005065EB" w:rsidRPr="00AD239A">
        <w:rPr>
          <w:rFonts w:ascii="Garamond" w:eastAsia="Times New Roman" w:hAnsi="Garamond" w:cs="Times New Roman"/>
          <w:szCs w:val="22"/>
        </w:rPr>
        <w:t xml:space="preserve"> insisted, “speak for itself.” What </w:t>
      </w:r>
      <w:r w:rsidR="00F671E2" w:rsidRPr="00AD239A">
        <w:rPr>
          <w:rFonts w:ascii="Garamond" w:eastAsia="Times New Roman" w:hAnsi="Garamond" w:cs="Times New Roman"/>
          <w:szCs w:val="22"/>
        </w:rPr>
        <w:t>video</w:t>
      </w:r>
      <w:r w:rsidR="005065EB" w:rsidRPr="00AD239A">
        <w:rPr>
          <w:rFonts w:ascii="Garamond" w:eastAsia="Times New Roman" w:hAnsi="Garamond" w:cs="Times New Roman"/>
          <w:szCs w:val="22"/>
        </w:rPr>
        <w:t xml:space="preserve"> actually says depends on a number of different considerations--who is watching, who </w:t>
      </w:r>
      <w:r w:rsidR="00BB0FB4" w:rsidRPr="00AD239A">
        <w:rPr>
          <w:rFonts w:ascii="Garamond" w:eastAsia="Times New Roman" w:hAnsi="Garamond" w:cs="Times New Roman"/>
          <w:szCs w:val="22"/>
        </w:rPr>
        <w:t>and what is depicted</w:t>
      </w:r>
      <w:r w:rsidR="005065EB" w:rsidRPr="00AD239A">
        <w:rPr>
          <w:rFonts w:ascii="Garamond" w:eastAsia="Times New Roman" w:hAnsi="Garamond" w:cs="Times New Roman"/>
          <w:szCs w:val="22"/>
        </w:rPr>
        <w:t xml:space="preserve">, who created the images, and </w:t>
      </w:r>
      <w:r w:rsidR="00A86BDC" w:rsidRPr="00AD239A">
        <w:rPr>
          <w:rFonts w:ascii="Garamond" w:eastAsia="Times New Roman" w:hAnsi="Garamond" w:cs="Times New Roman"/>
          <w:szCs w:val="22"/>
        </w:rPr>
        <w:t xml:space="preserve">details of the images themselves, such as length, clarity, distance, and angle; all affect the inferences that may be drawn from the video, creating many different possible conclusions. But that uncertainty </w:t>
      </w:r>
      <w:r w:rsidR="00EF0C11" w:rsidRPr="00AD239A">
        <w:rPr>
          <w:rFonts w:ascii="Garamond" w:eastAsia="Times New Roman" w:hAnsi="Garamond" w:cs="Times New Roman"/>
          <w:szCs w:val="22"/>
        </w:rPr>
        <w:t>is why summary judgment is inappropriate; it supports allowing</w:t>
      </w:r>
      <w:r w:rsidR="00A86BDC" w:rsidRPr="00AD239A">
        <w:rPr>
          <w:rFonts w:ascii="Garamond" w:eastAsia="Times New Roman" w:hAnsi="Garamond" w:cs="Times New Roman"/>
          <w:szCs w:val="22"/>
        </w:rPr>
        <w:t xml:space="preserve"> the factfinder to view the video and draw its own inferences.</w:t>
      </w:r>
      <w:r w:rsidR="00186372" w:rsidRPr="00AD239A">
        <w:rPr>
          <w:rStyle w:val="FootnoteReference"/>
          <w:rFonts w:ascii="Garamond" w:eastAsia="Times New Roman" w:hAnsi="Garamond" w:cs="Times New Roman"/>
          <w:szCs w:val="22"/>
        </w:rPr>
        <w:footnoteReference w:id="19"/>
      </w:r>
      <w:r w:rsidR="00A86BDC" w:rsidRPr="00AD239A">
        <w:rPr>
          <w:rFonts w:ascii="Garamond" w:eastAsia="Times New Roman" w:hAnsi="Garamond" w:cs="Times New Roman"/>
          <w:szCs w:val="22"/>
        </w:rPr>
        <w:t xml:space="preserve"> Moreover, as Dan Kahan and his co-authors famous</w:t>
      </w:r>
      <w:r w:rsidR="00A50C5F" w:rsidRPr="00AD239A">
        <w:rPr>
          <w:rFonts w:ascii="Garamond" w:eastAsia="Times New Roman" w:hAnsi="Garamond" w:cs="Times New Roman"/>
          <w:szCs w:val="22"/>
        </w:rPr>
        <w:t>ly argued, what a viewer “sees”</w:t>
      </w:r>
      <w:r w:rsidR="00A86BDC" w:rsidRPr="00AD239A">
        <w:rPr>
          <w:rFonts w:ascii="Garamond" w:eastAsia="Times New Roman" w:hAnsi="Garamond" w:cs="Times New Roman"/>
          <w:szCs w:val="22"/>
        </w:rPr>
        <w:t>--and the inferences and conclusions one draws--</w:t>
      </w:r>
      <w:r w:rsidR="005D2744" w:rsidRPr="00AD239A">
        <w:rPr>
          <w:rFonts w:ascii="Garamond" w:eastAsia="Times New Roman" w:hAnsi="Garamond" w:cs="Times New Roman"/>
          <w:szCs w:val="22"/>
        </w:rPr>
        <w:t xml:space="preserve">from </w:t>
      </w:r>
      <w:r w:rsidR="00A50C5F" w:rsidRPr="00AD239A">
        <w:rPr>
          <w:rFonts w:ascii="Garamond" w:eastAsia="Times New Roman" w:hAnsi="Garamond" w:cs="Times New Roman"/>
          <w:szCs w:val="22"/>
        </w:rPr>
        <w:t xml:space="preserve">video </w:t>
      </w:r>
      <w:r w:rsidR="00A86BDC" w:rsidRPr="00AD239A">
        <w:rPr>
          <w:rFonts w:ascii="Garamond" w:eastAsia="Times New Roman" w:hAnsi="Garamond" w:cs="Times New Roman"/>
          <w:szCs w:val="22"/>
        </w:rPr>
        <w:t>are affected by cultural, demographic, social, and political characteristics. It thus becomes more essential that the broader range of community voices that comprise a jury be given an opportunity to review and infer from the video.</w:t>
      </w:r>
      <w:r w:rsidR="00186372" w:rsidRPr="00AD239A">
        <w:rPr>
          <w:rStyle w:val="FootnoteReference"/>
          <w:rFonts w:ascii="Garamond" w:eastAsia="Times New Roman" w:hAnsi="Garamond" w:cs="Times New Roman"/>
          <w:szCs w:val="22"/>
        </w:rPr>
        <w:footnoteReference w:id="20"/>
      </w:r>
      <w:r w:rsidR="005953A6" w:rsidRPr="00AD239A">
        <w:rPr>
          <w:rFonts w:ascii="Garamond" w:eastAsia="Times New Roman" w:hAnsi="Garamond" w:cs="Times New Roman"/>
          <w:szCs w:val="22"/>
        </w:rPr>
        <w:t xml:space="preserve"> Video speaks “only against the background of pre-existing understandings of social reality that invest[ed] those facts with meaning.”</w:t>
      </w:r>
      <w:r w:rsidR="005953A6" w:rsidRPr="00AD239A">
        <w:rPr>
          <w:rStyle w:val="FootnoteReference"/>
          <w:rFonts w:ascii="Garamond" w:eastAsia="Times New Roman" w:hAnsi="Garamond" w:cs="Times New Roman"/>
          <w:szCs w:val="22"/>
        </w:rPr>
        <w:footnoteReference w:id="21"/>
      </w:r>
    </w:p>
    <w:p w14:paraId="0E8DB68A" w14:textId="130B4E66" w:rsidR="00A86BDC" w:rsidRPr="00AD239A" w:rsidRDefault="00A86BDC" w:rsidP="003002A2">
      <w:pPr>
        <w:ind w:firstLine="360"/>
        <w:rPr>
          <w:rFonts w:ascii="Garamond" w:eastAsia="Times New Roman" w:hAnsi="Garamond" w:cs="Times New Roman"/>
          <w:szCs w:val="22"/>
        </w:rPr>
      </w:pPr>
      <w:r w:rsidRPr="00AD239A">
        <w:rPr>
          <w:rFonts w:ascii="Garamond" w:eastAsia="Times New Roman" w:hAnsi="Garamond" w:cs="Times New Roman"/>
          <w:szCs w:val="22"/>
        </w:rPr>
        <w:t xml:space="preserve">Unfortunately, </w:t>
      </w:r>
      <w:r w:rsidRPr="00AD239A">
        <w:rPr>
          <w:rFonts w:ascii="Garamond" w:eastAsia="Times New Roman" w:hAnsi="Garamond" w:cs="Times New Roman"/>
          <w:i/>
          <w:szCs w:val="22"/>
        </w:rPr>
        <w:t>Plumhoff</w:t>
      </w:r>
      <w:r w:rsidRPr="00AD239A">
        <w:rPr>
          <w:rFonts w:ascii="Garamond" w:eastAsia="Times New Roman" w:hAnsi="Garamond" w:cs="Times New Roman"/>
          <w:szCs w:val="22"/>
        </w:rPr>
        <w:t xml:space="preserve"> shows that the Court has not taken those lessons to heart. Nor have lower courts, which routinely grant summary judgment for defendants in video cases.</w:t>
      </w:r>
      <w:r w:rsidR="009A40DF" w:rsidRPr="00AD239A">
        <w:rPr>
          <w:rStyle w:val="FootnoteReference"/>
          <w:rFonts w:ascii="Garamond" w:eastAsia="Times New Roman" w:hAnsi="Garamond" w:cs="Times New Roman"/>
          <w:szCs w:val="22"/>
        </w:rPr>
        <w:footnoteReference w:id="22"/>
      </w:r>
      <w:r w:rsidR="00313322" w:rsidRPr="00AD239A">
        <w:rPr>
          <w:rFonts w:ascii="Garamond" w:eastAsia="Times New Roman" w:hAnsi="Garamond" w:cs="Times New Roman"/>
          <w:szCs w:val="22"/>
        </w:rPr>
        <w:t xml:space="preserve"> </w:t>
      </w:r>
      <w:r w:rsidR="00313322" w:rsidRPr="00AD239A">
        <w:rPr>
          <w:rFonts w:ascii="Garamond" w:eastAsia="Times New Roman" w:hAnsi="Garamond" w:cs="Times New Roman"/>
          <w:i/>
          <w:szCs w:val="22"/>
        </w:rPr>
        <w:t>Plumhoff</w:t>
      </w:r>
      <w:r w:rsidR="00313322" w:rsidRPr="00AD239A">
        <w:rPr>
          <w:rFonts w:ascii="Garamond" w:eastAsia="Times New Roman" w:hAnsi="Garamond" w:cs="Times New Roman"/>
          <w:szCs w:val="22"/>
        </w:rPr>
        <w:t xml:space="preserve"> </w:t>
      </w:r>
      <w:r w:rsidR="004D273D" w:rsidRPr="00AD239A">
        <w:rPr>
          <w:rFonts w:ascii="Garamond" w:eastAsia="Times New Roman" w:hAnsi="Garamond" w:cs="Times New Roman"/>
          <w:szCs w:val="22"/>
        </w:rPr>
        <w:t xml:space="preserve">is problematic in </w:t>
      </w:r>
      <w:r w:rsidR="00313322" w:rsidRPr="00AD239A">
        <w:rPr>
          <w:rFonts w:ascii="Garamond" w:eastAsia="Times New Roman" w:hAnsi="Garamond" w:cs="Times New Roman"/>
          <w:szCs w:val="22"/>
        </w:rPr>
        <w:t>validat</w:t>
      </w:r>
      <w:r w:rsidR="004D273D" w:rsidRPr="00AD239A">
        <w:rPr>
          <w:rFonts w:ascii="Garamond" w:eastAsia="Times New Roman" w:hAnsi="Garamond" w:cs="Times New Roman"/>
          <w:szCs w:val="22"/>
        </w:rPr>
        <w:t>ing</w:t>
      </w:r>
      <w:r w:rsidR="00313322" w:rsidRPr="00AD239A">
        <w:rPr>
          <w:rFonts w:ascii="Garamond" w:eastAsia="Times New Roman" w:hAnsi="Garamond" w:cs="Times New Roman"/>
          <w:szCs w:val="22"/>
        </w:rPr>
        <w:t xml:space="preserve"> and sanction</w:t>
      </w:r>
      <w:r w:rsidR="004D273D" w:rsidRPr="00AD239A">
        <w:rPr>
          <w:rFonts w:ascii="Garamond" w:eastAsia="Times New Roman" w:hAnsi="Garamond" w:cs="Times New Roman"/>
          <w:szCs w:val="22"/>
        </w:rPr>
        <w:t>ing</w:t>
      </w:r>
      <w:r w:rsidR="00313322" w:rsidRPr="00AD239A">
        <w:rPr>
          <w:rFonts w:ascii="Garamond" w:eastAsia="Times New Roman" w:hAnsi="Garamond" w:cs="Times New Roman"/>
          <w:szCs w:val="22"/>
        </w:rPr>
        <w:t xml:space="preserve"> what courts have been doing</w:t>
      </w:r>
      <w:r w:rsidR="004D273D" w:rsidRPr="00AD239A">
        <w:rPr>
          <w:rFonts w:ascii="Garamond" w:eastAsia="Times New Roman" w:hAnsi="Garamond" w:cs="Times New Roman"/>
          <w:szCs w:val="22"/>
        </w:rPr>
        <w:t>, reaffirming this problematic approach to video evidence and to summary judgment</w:t>
      </w:r>
      <w:r w:rsidR="00313322" w:rsidRPr="00AD239A">
        <w:rPr>
          <w:rFonts w:ascii="Garamond" w:eastAsia="Times New Roman" w:hAnsi="Garamond" w:cs="Times New Roman"/>
          <w:szCs w:val="22"/>
        </w:rPr>
        <w:t>.</w:t>
      </w:r>
    </w:p>
    <w:p w14:paraId="4204EA0F" w14:textId="6E9235F5" w:rsidR="00313322" w:rsidRPr="00AD239A" w:rsidRDefault="00313322" w:rsidP="009E6C37">
      <w:pPr>
        <w:ind w:firstLine="360"/>
        <w:rPr>
          <w:rFonts w:ascii="Garamond" w:eastAsia="Times New Roman" w:hAnsi="Garamond" w:cs="Times New Roman"/>
          <w:szCs w:val="22"/>
        </w:rPr>
      </w:pPr>
      <w:r w:rsidRPr="00AD239A">
        <w:rPr>
          <w:rFonts w:ascii="Garamond" w:eastAsia="Times New Roman" w:hAnsi="Garamond" w:cs="Times New Roman"/>
          <w:szCs w:val="22"/>
        </w:rPr>
        <w:t xml:space="preserve">So why was </w:t>
      </w:r>
      <w:r w:rsidRPr="00AD239A">
        <w:rPr>
          <w:rFonts w:ascii="Garamond" w:eastAsia="Times New Roman" w:hAnsi="Garamond" w:cs="Times New Roman"/>
          <w:i/>
          <w:szCs w:val="22"/>
        </w:rPr>
        <w:t>Plumhoff</w:t>
      </w:r>
      <w:r w:rsidRPr="00AD239A">
        <w:rPr>
          <w:rFonts w:ascii="Garamond" w:eastAsia="Times New Roman" w:hAnsi="Garamond" w:cs="Times New Roman"/>
          <w:szCs w:val="22"/>
        </w:rPr>
        <w:t xml:space="preserve"> not as bad as it might have been? Unlike </w:t>
      </w:r>
      <w:r w:rsidRPr="00AD239A">
        <w:rPr>
          <w:rFonts w:ascii="Garamond" w:eastAsia="Times New Roman" w:hAnsi="Garamond" w:cs="Times New Roman"/>
          <w:i/>
          <w:szCs w:val="22"/>
        </w:rPr>
        <w:t>Scott</w:t>
      </w:r>
      <w:r w:rsidRPr="00AD239A">
        <w:rPr>
          <w:rFonts w:ascii="Garamond" w:eastAsia="Times New Roman" w:hAnsi="Garamond" w:cs="Times New Roman"/>
          <w:szCs w:val="22"/>
        </w:rPr>
        <w:t xml:space="preserve">, the Court did not </w:t>
      </w:r>
      <w:r w:rsidR="00C44A01" w:rsidRPr="00AD239A">
        <w:rPr>
          <w:rFonts w:ascii="Garamond" w:eastAsia="Times New Roman" w:hAnsi="Garamond" w:cs="Times New Roman"/>
          <w:szCs w:val="22"/>
        </w:rPr>
        <w:t>ignore</w:t>
      </w:r>
      <w:r w:rsidR="009901D8" w:rsidRPr="00AD239A">
        <w:rPr>
          <w:rFonts w:ascii="Garamond" w:eastAsia="Times New Roman" w:hAnsi="Garamond" w:cs="Times New Roman"/>
          <w:szCs w:val="22"/>
        </w:rPr>
        <w:t xml:space="preserve"> testimony and other non-video </w:t>
      </w:r>
      <w:r w:rsidRPr="00AD239A">
        <w:rPr>
          <w:rFonts w:ascii="Garamond" w:eastAsia="Times New Roman" w:hAnsi="Garamond" w:cs="Times New Roman"/>
          <w:szCs w:val="22"/>
        </w:rPr>
        <w:t xml:space="preserve">record </w:t>
      </w:r>
      <w:r w:rsidR="00E136F6" w:rsidRPr="00AD239A">
        <w:rPr>
          <w:rFonts w:ascii="Garamond" w:eastAsia="Times New Roman" w:hAnsi="Garamond" w:cs="Times New Roman"/>
          <w:szCs w:val="22"/>
        </w:rPr>
        <w:t xml:space="preserve">evidence </w:t>
      </w:r>
      <w:r w:rsidRPr="00AD239A">
        <w:rPr>
          <w:rFonts w:ascii="Garamond" w:eastAsia="Times New Roman" w:hAnsi="Garamond" w:cs="Times New Roman"/>
          <w:szCs w:val="22"/>
        </w:rPr>
        <w:t>in favor of the video.</w:t>
      </w:r>
      <w:r w:rsidR="00E26323" w:rsidRPr="00AD239A">
        <w:rPr>
          <w:rFonts w:ascii="Garamond" w:eastAsia="Times New Roman" w:hAnsi="Garamond" w:cs="Times New Roman"/>
          <w:szCs w:val="22"/>
        </w:rPr>
        <w:t xml:space="preserve"> </w:t>
      </w:r>
      <w:r w:rsidR="00E136F6" w:rsidRPr="00AD239A">
        <w:rPr>
          <w:rFonts w:ascii="Garamond" w:eastAsia="Times New Roman" w:hAnsi="Garamond" w:cs="Times New Roman"/>
          <w:szCs w:val="22"/>
        </w:rPr>
        <w:t xml:space="preserve"> Since both the driver and passenger were killed, neither could offer testimony about the events that the justices could </w:t>
      </w:r>
      <w:r w:rsidR="009C5F94" w:rsidRPr="00AD239A">
        <w:rPr>
          <w:rFonts w:ascii="Garamond" w:eastAsia="Times New Roman" w:hAnsi="Garamond" w:cs="Times New Roman"/>
          <w:szCs w:val="22"/>
        </w:rPr>
        <w:t xml:space="preserve">then </w:t>
      </w:r>
      <w:r w:rsidR="00E136F6" w:rsidRPr="00AD239A">
        <w:rPr>
          <w:rFonts w:ascii="Garamond" w:eastAsia="Times New Roman" w:hAnsi="Garamond" w:cs="Times New Roman"/>
          <w:szCs w:val="22"/>
        </w:rPr>
        <w:t xml:space="preserve">compare with their view of the video and ignore, as had occurred in </w:t>
      </w:r>
      <w:r w:rsidR="00E136F6" w:rsidRPr="00AD239A">
        <w:rPr>
          <w:rFonts w:ascii="Garamond" w:eastAsia="Times New Roman" w:hAnsi="Garamond" w:cs="Times New Roman"/>
          <w:i/>
          <w:szCs w:val="22"/>
        </w:rPr>
        <w:t>Scott</w:t>
      </w:r>
      <w:r w:rsidR="00E136F6" w:rsidRPr="00AD239A">
        <w:rPr>
          <w:rFonts w:ascii="Garamond" w:eastAsia="Times New Roman" w:hAnsi="Garamond" w:cs="Times New Roman"/>
          <w:szCs w:val="22"/>
        </w:rPr>
        <w:t>.</w:t>
      </w:r>
      <w:r w:rsidR="00DA2E1A" w:rsidRPr="00AD239A">
        <w:rPr>
          <w:rFonts w:ascii="Garamond" w:eastAsia="Times New Roman" w:hAnsi="Garamond" w:cs="Times New Roman"/>
          <w:szCs w:val="22"/>
        </w:rPr>
        <w:t xml:space="preserve"> </w:t>
      </w:r>
      <w:r w:rsidR="00386DD1" w:rsidRPr="00AD239A">
        <w:rPr>
          <w:rFonts w:ascii="Garamond" w:eastAsia="Times New Roman" w:hAnsi="Garamond" w:cs="Times New Roman"/>
          <w:szCs w:val="22"/>
        </w:rPr>
        <w:t xml:space="preserve"> The only evidence was the video and the officers’ testimony (which was consistent with the video), so the Court did not have the opportunity to favor some evidence over other</w:t>
      </w:r>
      <w:r w:rsidR="00B536A3" w:rsidRPr="00AD239A">
        <w:rPr>
          <w:rFonts w:ascii="Garamond" w:eastAsia="Times New Roman" w:hAnsi="Garamond" w:cs="Times New Roman"/>
          <w:szCs w:val="22"/>
        </w:rPr>
        <w:t xml:space="preserve"> evidence</w:t>
      </w:r>
      <w:r w:rsidR="00386DD1" w:rsidRPr="00AD239A">
        <w:rPr>
          <w:rFonts w:ascii="Garamond" w:eastAsia="Times New Roman" w:hAnsi="Garamond" w:cs="Times New Roman"/>
          <w:szCs w:val="22"/>
        </w:rPr>
        <w:t xml:space="preserve">. </w:t>
      </w:r>
      <w:r w:rsidR="00DA2E1A" w:rsidRPr="00AD239A">
        <w:rPr>
          <w:rFonts w:ascii="Garamond" w:eastAsia="Times New Roman" w:hAnsi="Garamond" w:cs="Times New Roman"/>
          <w:szCs w:val="22"/>
        </w:rPr>
        <w:t xml:space="preserve">While </w:t>
      </w:r>
      <w:r w:rsidR="000F04FB" w:rsidRPr="00AD239A">
        <w:rPr>
          <w:rFonts w:ascii="Garamond" w:eastAsia="Times New Roman" w:hAnsi="Garamond" w:cs="Times New Roman"/>
          <w:szCs w:val="22"/>
        </w:rPr>
        <w:t xml:space="preserve">the power of a court to </w:t>
      </w:r>
      <w:r w:rsidR="00AF6A32" w:rsidRPr="00AD239A">
        <w:rPr>
          <w:rFonts w:ascii="Garamond" w:eastAsia="Times New Roman" w:hAnsi="Garamond" w:cs="Times New Roman"/>
          <w:szCs w:val="22"/>
        </w:rPr>
        <w:t>disregard</w:t>
      </w:r>
      <w:r w:rsidR="00DA2E1A" w:rsidRPr="00AD239A">
        <w:rPr>
          <w:rFonts w:ascii="Garamond" w:eastAsia="Times New Roman" w:hAnsi="Garamond" w:cs="Times New Roman"/>
          <w:szCs w:val="22"/>
        </w:rPr>
        <w:t xml:space="preserve"> evidence that is “blatantly contradicted by the record” was a repeated theme during oral argument,</w:t>
      </w:r>
      <w:r w:rsidR="00186372" w:rsidRPr="00AD239A">
        <w:rPr>
          <w:rStyle w:val="FootnoteReference"/>
          <w:rFonts w:ascii="Garamond" w:eastAsia="Times New Roman" w:hAnsi="Garamond" w:cs="Times New Roman"/>
          <w:szCs w:val="22"/>
        </w:rPr>
        <w:footnoteReference w:id="23"/>
      </w:r>
      <w:r w:rsidR="00DA2E1A" w:rsidRPr="00AD239A">
        <w:rPr>
          <w:rFonts w:ascii="Garamond" w:eastAsia="Times New Roman" w:hAnsi="Garamond" w:cs="Times New Roman"/>
          <w:szCs w:val="22"/>
        </w:rPr>
        <w:t xml:space="preserve"> it never </w:t>
      </w:r>
      <w:r w:rsidR="009E6C37" w:rsidRPr="00AD239A">
        <w:rPr>
          <w:rFonts w:ascii="Garamond" w:eastAsia="Times New Roman" w:hAnsi="Garamond" w:cs="Times New Roman"/>
          <w:szCs w:val="22"/>
        </w:rPr>
        <w:t xml:space="preserve">came up in the opinion itself. </w:t>
      </w:r>
      <w:r w:rsidR="000F04FB" w:rsidRPr="00AD239A">
        <w:rPr>
          <w:rFonts w:ascii="Garamond" w:eastAsia="Times New Roman" w:hAnsi="Garamond" w:cs="Times New Roman"/>
          <w:szCs w:val="22"/>
        </w:rPr>
        <w:t xml:space="preserve">The conflict here </w:t>
      </w:r>
      <w:r w:rsidR="005562A5" w:rsidRPr="00AD239A">
        <w:rPr>
          <w:rFonts w:ascii="Garamond" w:eastAsia="Times New Roman" w:hAnsi="Garamond" w:cs="Times New Roman"/>
          <w:szCs w:val="22"/>
        </w:rPr>
        <w:t>involved</w:t>
      </w:r>
      <w:r w:rsidR="000F04FB" w:rsidRPr="00AD239A">
        <w:rPr>
          <w:rFonts w:ascii="Garamond" w:eastAsia="Times New Roman" w:hAnsi="Garamond" w:cs="Times New Roman"/>
          <w:szCs w:val="22"/>
        </w:rPr>
        <w:t xml:space="preserve"> competing arguments about what </w:t>
      </w:r>
      <w:r w:rsidR="00C968CE" w:rsidRPr="00AD239A">
        <w:rPr>
          <w:rFonts w:ascii="Garamond" w:eastAsia="Times New Roman" w:hAnsi="Garamond" w:cs="Times New Roman"/>
          <w:szCs w:val="22"/>
        </w:rPr>
        <w:t>one piece of evidence--the video--</w:t>
      </w:r>
      <w:r w:rsidR="000F04FB" w:rsidRPr="00AD239A">
        <w:rPr>
          <w:rFonts w:ascii="Garamond" w:eastAsia="Times New Roman" w:hAnsi="Garamond" w:cs="Times New Roman"/>
          <w:szCs w:val="22"/>
        </w:rPr>
        <w:t>showed</w:t>
      </w:r>
      <w:r w:rsidR="005D2744" w:rsidRPr="00AD239A">
        <w:rPr>
          <w:rFonts w:ascii="Garamond" w:eastAsia="Times New Roman" w:hAnsi="Garamond" w:cs="Times New Roman"/>
          <w:szCs w:val="22"/>
        </w:rPr>
        <w:t xml:space="preserve"> and the reasonable inferences that could be drawn</w:t>
      </w:r>
      <w:r w:rsidR="003A664A" w:rsidRPr="00AD239A">
        <w:rPr>
          <w:rFonts w:ascii="Garamond" w:eastAsia="Times New Roman" w:hAnsi="Garamond" w:cs="Times New Roman"/>
          <w:szCs w:val="22"/>
        </w:rPr>
        <w:t xml:space="preserve"> as to whether the</w:t>
      </w:r>
      <w:r w:rsidR="000F04FB" w:rsidRPr="00AD239A">
        <w:rPr>
          <w:rFonts w:ascii="Garamond" w:eastAsia="Times New Roman" w:hAnsi="Garamond" w:cs="Times New Roman"/>
          <w:szCs w:val="22"/>
        </w:rPr>
        <w:t xml:space="preserve"> chase already had ended when police began shooting</w:t>
      </w:r>
      <w:r w:rsidR="00FA1155" w:rsidRPr="00AD239A">
        <w:rPr>
          <w:rFonts w:ascii="Garamond" w:eastAsia="Times New Roman" w:hAnsi="Garamond" w:cs="Times New Roman"/>
          <w:szCs w:val="22"/>
        </w:rPr>
        <w:t xml:space="preserve">, </w:t>
      </w:r>
      <w:r w:rsidR="00070E3D" w:rsidRPr="00AD239A">
        <w:rPr>
          <w:rFonts w:ascii="Garamond" w:eastAsia="Times New Roman" w:hAnsi="Garamond" w:cs="Times New Roman"/>
          <w:szCs w:val="22"/>
        </w:rPr>
        <w:t xml:space="preserve">as opposed to </w:t>
      </w:r>
      <w:r w:rsidR="00B2666A" w:rsidRPr="00AD239A">
        <w:rPr>
          <w:rFonts w:ascii="Garamond" w:eastAsia="Times New Roman" w:hAnsi="Garamond" w:cs="Times New Roman"/>
          <w:szCs w:val="22"/>
        </w:rPr>
        <w:t xml:space="preserve">other </w:t>
      </w:r>
      <w:r w:rsidR="00070E3D" w:rsidRPr="00AD239A">
        <w:rPr>
          <w:rFonts w:ascii="Garamond" w:eastAsia="Times New Roman" w:hAnsi="Garamond" w:cs="Times New Roman"/>
          <w:szCs w:val="22"/>
        </w:rPr>
        <w:t xml:space="preserve">evidence that conflicted with what the justices saw in the video. And while the Court’s video absolutism is, normatively, not the best approach to summary judgment, it at least is preferable to a </w:t>
      </w:r>
      <w:r w:rsidR="008E234C" w:rsidRPr="00AD239A">
        <w:rPr>
          <w:rFonts w:ascii="Garamond" w:eastAsia="Times New Roman" w:hAnsi="Garamond" w:cs="Times New Roman"/>
          <w:szCs w:val="22"/>
        </w:rPr>
        <w:t xml:space="preserve">summary judgment court </w:t>
      </w:r>
      <w:r w:rsidR="00070E3D" w:rsidRPr="00AD239A">
        <w:rPr>
          <w:rFonts w:ascii="Garamond" w:eastAsia="Times New Roman" w:hAnsi="Garamond" w:cs="Times New Roman"/>
          <w:szCs w:val="22"/>
        </w:rPr>
        <w:t>entire</w:t>
      </w:r>
      <w:r w:rsidR="009E6C37" w:rsidRPr="00AD239A">
        <w:rPr>
          <w:rFonts w:ascii="Garamond" w:eastAsia="Times New Roman" w:hAnsi="Garamond" w:cs="Times New Roman"/>
          <w:szCs w:val="22"/>
        </w:rPr>
        <w:t xml:space="preserve">ly disregarding record evidence </w:t>
      </w:r>
      <w:r w:rsidR="003B7541" w:rsidRPr="00AD239A">
        <w:rPr>
          <w:rFonts w:ascii="Garamond" w:eastAsia="Times New Roman" w:hAnsi="Garamond" w:cs="Times New Roman"/>
          <w:szCs w:val="22"/>
        </w:rPr>
        <w:t>and</w:t>
      </w:r>
      <w:r w:rsidR="009E6C37" w:rsidRPr="00AD239A">
        <w:rPr>
          <w:rFonts w:ascii="Garamond" w:eastAsia="Times New Roman" w:hAnsi="Garamond" w:cs="Times New Roman"/>
          <w:szCs w:val="22"/>
        </w:rPr>
        <w:t xml:space="preserve"> weighing and preferring some evidence over other evidence.</w:t>
      </w:r>
    </w:p>
    <w:p w14:paraId="3A11C64B" w14:textId="77777777" w:rsidR="00070E3D" w:rsidRPr="00AD239A" w:rsidRDefault="00070E3D" w:rsidP="003002A2">
      <w:pPr>
        <w:ind w:firstLine="360"/>
        <w:rPr>
          <w:rFonts w:ascii="Garamond" w:eastAsia="Times New Roman" w:hAnsi="Garamond" w:cs="Times New Roman"/>
          <w:szCs w:val="22"/>
        </w:rPr>
      </w:pPr>
    </w:p>
    <w:p w14:paraId="56F0F1FA" w14:textId="29F87F7E" w:rsidR="00070E3D" w:rsidRPr="00AD239A" w:rsidRDefault="00070E3D" w:rsidP="00070E3D">
      <w:pPr>
        <w:rPr>
          <w:rFonts w:ascii="Garamond" w:eastAsia="Times New Roman" w:hAnsi="Garamond" w:cs="Times New Roman"/>
          <w:szCs w:val="22"/>
        </w:rPr>
      </w:pPr>
      <w:r w:rsidRPr="00AD239A">
        <w:rPr>
          <w:rFonts w:ascii="Garamond" w:eastAsia="Times New Roman" w:hAnsi="Garamond" w:cs="Times New Roman"/>
          <w:b/>
          <w:szCs w:val="22"/>
        </w:rPr>
        <w:t xml:space="preserve">II. Summary Judgment </w:t>
      </w:r>
      <w:r w:rsidR="00FA183F" w:rsidRPr="00AD239A">
        <w:rPr>
          <w:rFonts w:ascii="Garamond" w:eastAsia="Times New Roman" w:hAnsi="Garamond" w:cs="Times New Roman"/>
          <w:b/>
          <w:szCs w:val="22"/>
        </w:rPr>
        <w:t>and Procedural Oddit</w:t>
      </w:r>
      <w:r w:rsidR="00325E08" w:rsidRPr="00AD239A">
        <w:rPr>
          <w:rFonts w:ascii="Garamond" w:eastAsia="Times New Roman" w:hAnsi="Garamond" w:cs="Times New Roman"/>
          <w:b/>
          <w:szCs w:val="22"/>
        </w:rPr>
        <w:t>ies</w:t>
      </w:r>
    </w:p>
    <w:p w14:paraId="747FEFA4" w14:textId="77777777" w:rsidR="00070E3D" w:rsidRPr="00AD239A" w:rsidRDefault="00070E3D" w:rsidP="003002A2">
      <w:pPr>
        <w:ind w:firstLine="360"/>
        <w:rPr>
          <w:rFonts w:ascii="Garamond" w:hAnsi="Garamond"/>
          <w:szCs w:val="22"/>
        </w:rPr>
      </w:pPr>
    </w:p>
    <w:p w14:paraId="44F9A179" w14:textId="69B17A27" w:rsidR="00070E3D" w:rsidRPr="00AD239A" w:rsidRDefault="00070E3D" w:rsidP="00070E3D">
      <w:pPr>
        <w:rPr>
          <w:rFonts w:ascii="Garamond" w:hAnsi="Garamond"/>
          <w:szCs w:val="22"/>
        </w:rPr>
      </w:pPr>
      <w:r w:rsidRPr="00AD239A">
        <w:rPr>
          <w:rFonts w:ascii="Garamond" w:hAnsi="Garamond"/>
          <w:szCs w:val="22"/>
        </w:rPr>
        <w:t xml:space="preserve">A. </w:t>
      </w:r>
      <w:r w:rsidRPr="00AD239A">
        <w:rPr>
          <w:rFonts w:ascii="Garamond" w:hAnsi="Garamond"/>
          <w:i/>
          <w:szCs w:val="22"/>
        </w:rPr>
        <w:t>Tola</w:t>
      </w:r>
      <w:r w:rsidR="003B0BC8" w:rsidRPr="00AD239A">
        <w:rPr>
          <w:rFonts w:ascii="Garamond" w:hAnsi="Garamond"/>
          <w:i/>
          <w:szCs w:val="22"/>
        </w:rPr>
        <w:t xml:space="preserve">n </w:t>
      </w:r>
      <w:r w:rsidR="007D1D4F" w:rsidRPr="00AD239A">
        <w:rPr>
          <w:rFonts w:ascii="Garamond" w:hAnsi="Garamond"/>
          <w:szCs w:val="22"/>
        </w:rPr>
        <w:t xml:space="preserve">and </w:t>
      </w:r>
      <w:r w:rsidR="007D1D4F" w:rsidRPr="00AD239A">
        <w:rPr>
          <w:rFonts w:ascii="Garamond" w:hAnsi="Garamond"/>
          <w:i/>
          <w:szCs w:val="22"/>
        </w:rPr>
        <w:t>Thomas</w:t>
      </w:r>
    </w:p>
    <w:p w14:paraId="37B48862" w14:textId="77777777" w:rsidR="00070E3D" w:rsidRPr="00AD239A" w:rsidRDefault="00070E3D" w:rsidP="003002A2">
      <w:pPr>
        <w:ind w:firstLine="360"/>
        <w:rPr>
          <w:rFonts w:ascii="Garamond" w:hAnsi="Garamond"/>
          <w:szCs w:val="22"/>
        </w:rPr>
      </w:pPr>
    </w:p>
    <w:p w14:paraId="31E3F668" w14:textId="7B9ECB94" w:rsidR="00070E3D" w:rsidRPr="00AD239A" w:rsidRDefault="00070E3D" w:rsidP="003002A2">
      <w:pPr>
        <w:ind w:firstLine="360"/>
        <w:rPr>
          <w:rFonts w:ascii="Garamond" w:hAnsi="Garamond"/>
          <w:szCs w:val="22"/>
        </w:rPr>
      </w:pPr>
      <w:r w:rsidRPr="00AD239A">
        <w:rPr>
          <w:rFonts w:ascii="Garamond" w:hAnsi="Garamond"/>
          <w:szCs w:val="22"/>
        </w:rPr>
        <w:t xml:space="preserve">In light of </w:t>
      </w:r>
      <w:r w:rsidRPr="00AD239A">
        <w:rPr>
          <w:rFonts w:ascii="Garamond" w:hAnsi="Garamond"/>
          <w:i/>
          <w:szCs w:val="22"/>
        </w:rPr>
        <w:t>Scott</w:t>
      </w:r>
      <w:r w:rsidRPr="00AD239A">
        <w:rPr>
          <w:rFonts w:ascii="Garamond" w:hAnsi="Garamond"/>
          <w:szCs w:val="22"/>
        </w:rPr>
        <w:t xml:space="preserve"> and the general trend on summary judgment (and pre-trial resolution generally), it is hard to know what to make of two </w:t>
      </w:r>
      <w:r w:rsidR="00385DB4" w:rsidRPr="00AD239A">
        <w:rPr>
          <w:rFonts w:ascii="Garamond" w:hAnsi="Garamond"/>
          <w:szCs w:val="22"/>
        </w:rPr>
        <w:t xml:space="preserve">other </w:t>
      </w:r>
      <w:r w:rsidRPr="00AD239A">
        <w:rPr>
          <w:rFonts w:ascii="Garamond" w:hAnsi="Garamond"/>
          <w:szCs w:val="22"/>
        </w:rPr>
        <w:t xml:space="preserve">cases </w:t>
      </w:r>
      <w:r w:rsidR="003C7032" w:rsidRPr="00AD239A">
        <w:rPr>
          <w:rFonts w:ascii="Garamond" w:hAnsi="Garamond"/>
          <w:szCs w:val="22"/>
        </w:rPr>
        <w:t>from late</w:t>
      </w:r>
      <w:r w:rsidRPr="00AD239A">
        <w:rPr>
          <w:rFonts w:ascii="Garamond" w:hAnsi="Garamond"/>
          <w:szCs w:val="22"/>
        </w:rPr>
        <w:t xml:space="preserve"> in the term.</w:t>
      </w:r>
    </w:p>
    <w:p w14:paraId="6150932B" w14:textId="4E8ECD5D" w:rsidR="00070E3D" w:rsidRPr="00AD239A" w:rsidRDefault="00070E3D" w:rsidP="003002A2">
      <w:pPr>
        <w:ind w:firstLine="360"/>
        <w:rPr>
          <w:rFonts w:ascii="Garamond" w:hAnsi="Garamond"/>
          <w:szCs w:val="22"/>
        </w:rPr>
      </w:pPr>
      <w:r w:rsidRPr="00AD239A">
        <w:rPr>
          <w:rFonts w:ascii="Garamond" w:hAnsi="Garamond"/>
          <w:szCs w:val="22"/>
        </w:rPr>
        <w:t xml:space="preserve">On May 5, the Court issued an order in </w:t>
      </w:r>
      <w:r w:rsidRPr="00AD239A">
        <w:rPr>
          <w:rFonts w:ascii="Garamond" w:hAnsi="Garamond"/>
          <w:i/>
          <w:szCs w:val="22"/>
        </w:rPr>
        <w:t>Tolan v. Cooper</w:t>
      </w:r>
      <w:r w:rsidR="00194829" w:rsidRPr="00AD239A">
        <w:rPr>
          <w:rFonts w:ascii="Garamond" w:hAnsi="Garamond"/>
          <w:szCs w:val="22"/>
        </w:rPr>
        <w:t>, a pending certiorari petition from the Fifth Circuit</w:t>
      </w:r>
      <w:r w:rsidR="00F673F0" w:rsidRPr="00AD239A">
        <w:rPr>
          <w:rFonts w:ascii="Garamond" w:hAnsi="Garamond"/>
          <w:szCs w:val="22"/>
        </w:rPr>
        <w:t xml:space="preserve"> that had been relisted for conference nine times.</w:t>
      </w:r>
      <w:r w:rsidR="00F673F0" w:rsidRPr="00AD239A">
        <w:rPr>
          <w:rStyle w:val="FootnoteReference"/>
          <w:rFonts w:ascii="Garamond" w:hAnsi="Garamond"/>
          <w:szCs w:val="22"/>
        </w:rPr>
        <w:footnoteReference w:id="24"/>
      </w:r>
      <w:r w:rsidR="00194829" w:rsidRPr="00AD239A">
        <w:rPr>
          <w:rFonts w:ascii="Garamond" w:hAnsi="Garamond"/>
          <w:szCs w:val="22"/>
        </w:rPr>
        <w:t xml:space="preserve"> </w:t>
      </w:r>
      <w:r w:rsidR="00F14395" w:rsidRPr="00AD239A">
        <w:rPr>
          <w:rFonts w:ascii="Garamond" w:hAnsi="Garamond"/>
          <w:szCs w:val="22"/>
        </w:rPr>
        <w:t>In a single order, the Court</w:t>
      </w:r>
      <w:r w:rsidR="00194829" w:rsidRPr="00AD239A">
        <w:rPr>
          <w:rFonts w:ascii="Garamond" w:hAnsi="Garamond"/>
          <w:szCs w:val="22"/>
        </w:rPr>
        <w:t xml:space="preserve"> granting cert, vacat</w:t>
      </w:r>
      <w:r w:rsidR="00F14395" w:rsidRPr="00AD239A">
        <w:rPr>
          <w:rFonts w:ascii="Garamond" w:hAnsi="Garamond"/>
          <w:szCs w:val="22"/>
        </w:rPr>
        <w:t>ed</w:t>
      </w:r>
      <w:r w:rsidR="00194829" w:rsidRPr="00AD239A">
        <w:rPr>
          <w:rFonts w:ascii="Garamond" w:hAnsi="Garamond"/>
          <w:szCs w:val="22"/>
        </w:rPr>
        <w:t xml:space="preserve"> the Fifth Circuit, and remand</w:t>
      </w:r>
      <w:r w:rsidR="00F14395" w:rsidRPr="00AD239A">
        <w:rPr>
          <w:rFonts w:ascii="Garamond" w:hAnsi="Garamond"/>
          <w:szCs w:val="22"/>
        </w:rPr>
        <w:t>ed</w:t>
      </w:r>
      <w:r w:rsidR="00AA07EE" w:rsidRPr="00AD239A">
        <w:rPr>
          <w:rFonts w:ascii="Garamond" w:hAnsi="Garamond"/>
          <w:szCs w:val="22"/>
        </w:rPr>
        <w:t>; the</w:t>
      </w:r>
      <w:r w:rsidR="00194829" w:rsidRPr="00AD239A">
        <w:rPr>
          <w:rFonts w:ascii="Garamond" w:hAnsi="Garamond"/>
          <w:szCs w:val="22"/>
        </w:rPr>
        <w:t xml:space="preserve"> Court </w:t>
      </w:r>
      <w:r w:rsidR="00AA07EE" w:rsidRPr="00AD239A">
        <w:rPr>
          <w:rFonts w:ascii="Garamond" w:hAnsi="Garamond"/>
          <w:szCs w:val="22"/>
        </w:rPr>
        <w:t xml:space="preserve">also </w:t>
      </w:r>
      <w:r w:rsidR="00194829" w:rsidRPr="00AD239A">
        <w:rPr>
          <w:rFonts w:ascii="Garamond" w:hAnsi="Garamond"/>
          <w:szCs w:val="22"/>
        </w:rPr>
        <w:t>included a per curiam opinion and the remand was specifically for further proceedings consistent</w:t>
      </w:r>
      <w:r w:rsidR="00EC1ED4" w:rsidRPr="00AD239A">
        <w:rPr>
          <w:rFonts w:ascii="Garamond" w:hAnsi="Garamond"/>
          <w:szCs w:val="22"/>
        </w:rPr>
        <w:t xml:space="preserve"> with</w:t>
      </w:r>
      <w:r w:rsidR="00194829" w:rsidRPr="00AD239A">
        <w:rPr>
          <w:rFonts w:ascii="Garamond" w:hAnsi="Garamond"/>
          <w:szCs w:val="22"/>
        </w:rPr>
        <w:t xml:space="preserve"> th</w:t>
      </w:r>
      <w:r w:rsidR="00365F7B" w:rsidRPr="00AD239A">
        <w:rPr>
          <w:rFonts w:ascii="Garamond" w:hAnsi="Garamond"/>
          <w:szCs w:val="22"/>
        </w:rPr>
        <w:t>e Court’s</w:t>
      </w:r>
      <w:r w:rsidR="00194829" w:rsidRPr="00AD239A">
        <w:rPr>
          <w:rFonts w:ascii="Garamond" w:hAnsi="Garamond"/>
          <w:szCs w:val="22"/>
        </w:rPr>
        <w:t xml:space="preserve"> opinion</w:t>
      </w:r>
      <w:r w:rsidR="00892CFB" w:rsidRPr="00AD239A">
        <w:rPr>
          <w:rFonts w:ascii="Garamond" w:hAnsi="Garamond"/>
          <w:szCs w:val="22"/>
        </w:rPr>
        <w:t>.</w:t>
      </w:r>
      <w:r w:rsidR="00B9317E" w:rsidRPr="00AD239A">
        <w:rPr>
          <w:rStyle w:val="FootnoteReference"/>
          <w:rFonts w:ascii="Garamond" w:hAnsi="Garamond"/>
          <w:szCs w:val="22"/>
        </w:rPr>
        <w:footnoteReference w:id="25"/>
      </w:r>
    </w:p>
    <w:p w14:paraId="61F4103A" w14:textId="6F30108C" w:rsidR="00D73956" w:rsidRPr="00AD239A" w:rsidRDefault="00194829" w:rsidP="00D73956">
      <w:pPr>
        <w:ind w:firstLine="360"/>
        <w:rPr>
          <w:rFonts w:ascii="Garamond" w:hAnsi="Garamond"/>
          <w:szCs w:val="22"/>
        </w:rPr>
      </w:pPr>
      <w:r w:rsidRPr="00AD239A">
        <w:rPr>
          <w:rFonts w:ascii="Garamond" w:hAnsi="Garamond"/>
          <w:i/>
          <w:szCs w:val="22"/>
        </w:rPr>
        <w:t>Tolan</w:t>
      </w:r>
      <w:r w:rsidRPr="00AD239A">
        <w:rPr>
          <w:rFonts w:ascii="Garamond" w:hAnsi="Garamond"/>
          <w:szCs w:val="22"/>
        </w:rPr>
        <w:t xml:space="preserve"> arose from a police stop gone bad and what can charitably be described as a combination of overzealous police work, angry and offended homeowners</w:t>
      </w:r>
      <w:r w:rsidR="008A36E5" w:rsidRPr="00AD239A">
        <w:rPr>
          <w:rFonts w:ascii="Garamond" w:hAnsi="Garamond"/>
          <w:szCs w:val="22"/>
        </w:rPr>
        <w:t xml:space="preserve">, and </w:t>
      </w:r>
      <w:r w:rsidR="001F2434" w:rsidRPr="00AD239A">
        <w:rPr>
          <w:rFonts w:ascii="Garamond" w:hAnsi="Garamond"/>
          <w:szCs w:val="22"/>
        </w:rPr>
        <w:t>negligent typing</w:t>
      </w:r>
      <w:r w:rsidRPr="00AD239A">
        <w:rPr>
          <w:rFonts w:ascii="Garamond" w:hAnsi="Garamond"/>
          <w:szCs w:val="22"/>
        </w:rPr>
        <w:t xml:space="preserve">. A police officer saw a car pull in front of a house and ran the </w:t>
      </w:r>
      <w:r w:rsidR="00941315" w:rsidRPr="00AD239A">
        <w:rPr>
          <w:rFonts w:ascii="Garamond" w:hAnsi="Garamond"/>
          <w:szCs w:val="22"/>
        </w:rPr>
        <w:t>license; but he entered the wrong plate number (he mistyped one digit), causing the computer to report a stolen vehicle of that make and model. He drew his weapon and ordered both Tolan (the driver) and his companion to lie on the ground on the front porch of the house, accusing them of having stolen the car. The house belonged to Tolan’s parents; they came outside and attempted to explain that they owned both the house and the car and that one of the men was their son.</w:t>
      </w:r>
      <w:r w:rsidR="007B1F91" w:rsidRPr="00AD239A">
        <w:rPr>
          <w:rFonts w:ascii="Garamond" w:hAnsi="Garamond"/>
          <w:szCs w:val="22"/>
        </w:rPr>
        <w:t xml:space="preserve"> A second officer</w:t>
      </w:r>
      <w:r w:rsidR="00D73956" w:rsidRPr="00AD239A">
        <w:rPr>
          <w:rFonts w:ascii="Garamond" w:hAnsi="Garamond"/>
          <w:szCs w:val="22"/>
        </w:rPr>
        <w:t>, Sergeant Jeffrey Cotton,</w:t>
      </w:r>
      <w:r w:rsidR="007B1F91" w:rsidRPr="00AD239A">
        <w:rPr>
          <w:rFonts w:ascii="Garamond" w:hAnsi="Garamond"/>
          <w:szCs w:val="22"/>
        </w:rPr>
        <w:t xml:space="preserve"> arrived at the scene; the first officer explained that he had seen the two men exit a stolen car, while Tolan’s parents reiterated that there was no theft and they owned the property at issue.</w:t>
      </w:r>
      <w:r w:rsidR="00D73956" w:rsidRPr="00AD239A">
        <w:rPr>
          <w:rFonts w:ascii="Garamond" w:hAnsi="Garamond"/>
          <w:szCs w:val="22"/>
        </w:rPr>
        <w:t xml:space="preserve"> Cotton then ordered Tolan’s mother to stand by the garage door and physically moved her in that direction, although the amount of force is disputed. Seeing that, Tolan rose either to his knees or his feet (another disputed fact) and told the officer to “’[G]et</w:t>
      </w:r>
      <w:r w:rsidR="0073038E" w:rsidRPr="00AD239A">
        <w:rPr>
          <w:rFonts w:ascii="Garamond" w:hAnsi="Garamond"/>
          <w:szCs w:val="22"/>
        </w:rPr>
        <w:t xml:space="preserve"> your fucking hands off my mom’</w:t>
      </w:r>
      <w:r w:rsidR="00D73956" w:rsidRPr="00AD239A">
        <w:rPr>
          <w:rFonts w:ascii="Garamond" w:hAnsi="Garamond"/>
          <w:szCs w:val="22"/>
        </w:rPr>
        <w:t>”</w:t>
      </w:r>
      <w:r w:rsidR="005550FD" w:rsidRPr="00AD239A">
        <w:rPr>
          <w:rFonts w:ascii="Garamond" w:hAnsi="Garamond"/>
          <w:szCs w:val="22"/>
        </w:rPr>
        <w:t xml:space="preserve"> (his words are undisputed).</w:t>
      </w:r>
      <w:r w:rsidR="00D73956" w:rsidRPr="00AD239A">
        <w:rPr>
          <w:rFonts w:ascii="Garamond" w:hAnsi="Garamond"/>
          <w:szCs w:val="22"/>
        </w:rPr>
        <w:t xml:space="preserve"> At that point, Cotton pulled his weapon and shot Tolan three times in the chest. Tolan survived, although he suffered injuries that interrupted a promising baseball career.</w:t>
      </w:r>
      <w:r w:rsidR="00B3031A" w:rsidRPr="00AD239A">
        <w:rPr>
          <w:rStyle w:val="FootnoteReference"/>
          <w:rFonts w:ascii="Garamond" w:hAnsi="Garamond"/>
          <w:szCs w:val="22"/>
        </w:rPr>
        <w:footnoteReference w:id="26"/>
      </w:r>
    </w:p>
    <w:p w14:paraId="0E9CAD24" w14:textId="67A7D4F0" w:rsidR="00556200" w:rsidRPr="00AD239A" w:rsidRDefault="00757484" w:rsidP="00556200">
      <w:pPr>
        <w:ind w:firstLine="360"/>
        <w:rPr>
          <w:rFonts w:ascii="Garamond" w:hAnsi="Garamond"/>
          <w:szCs w:val="22"/>
        </w:rPr>
      </w:pPr>
      <w:r w:rsidRPr="00AD239A">
        <w:rPr>
          <w:rFonts w:ascii="Garamond" w:hAnsi="Garamond"/>
          <w:szCs w:val="22"/>
        </w:rPr>
        <w:t xml:space="preserve">Sergeant </w:t>
      </w:r>
      <w:r w:rsidR="00D73956" w:rsidRPr="00AD239A">
        <w:rPr>
          <w:rFonts w:ascii="Garamond" w:hAnsi="Garamond"/>
          <w:szCs w:val="22"/>
        </w:rPr>
        <w:t xml:space="preserve">Cotton was acquitted on </w:t>
      </w:r>
      <w:r w:rsidR="00A5241E" w:rsidRPr="00AD239A">
        <w:rPr>
          <w:rFonts w:ascii="Garamond" w:hAnsi="Garamond"/>
          <w:szCs w:val="22"/>
        </w:rPr>
        <w:t xml:space="preserve">state </w:t>
      </w:r>
      <w:r w:rsidR="00D73956" w:rsidRPr="00AD239A">
        <w:rPr>
          <w:rFonts w:ascii="Garamond" w:hAnsi="Garamond"/>
          <w:szCs w:val="22"/>
        </w:rPr>
        <w:t>charges of aggravated assault by a public servant.</w:t>
      </w:r>
      <w:r w:rsidR="009B316F" w:rsidRPr="00AD239A">
        <w:rPr>
          <w:rStyle w:val="FootnoteReference"/>
          <w:rFonts w:ascii="Garamond" w:hAnsi="Garamond"/>
          <w:szCs w:val="22"/>
        </w:rPr>
        <w:footnoteReference w:id="27"/>
      </w:r>
      <w:r w:rsidR="00D73956" w:rsidRPr="00AD239A">
        <w:rPr>
          <w:rFonts w:ascii="Garamond" w:hAnsi="Garamond"/>
          <w:szCs w:val="22"/>
        </w:rPr>
        <w:t xml:space="preserve"> In a subsequent § 1983 action, the Fifth Circuit </w:t>
      </w:r>
      <w:r w:rsidR="00CF0B96" w:rsidRPr="00AD239A">
        <w:rPr>
          <w:rFonts w:ascii="Garamond" w:hAnsi="Garamond"/>
          <w:szCs w:val="22"/>
        </w:rPr>
        <w:t xml:space="preserve">had </w:t>
      </w:r>
      <w:r w:rsidR="00D73956" w:rsidRPr="00AD239A">
        <w:rPr>
          <w:rFonts w:ascii="Garamond" w:hAnsi="Garamond"/>
          <w:szCs w:val="22"/>
        </w:rPr>
        <w:t xml:space="preserve">affirmed the grant of summary judgment on </w:t>
      </w:r>
      <w:r w:rsidR="00450AED" w:rsidRPr="00AD239A">
        <w:rPr>
          <w:rFonts w:ascii="Garamond" w:hAnsi="Garamond"/>
          <w:szCs w:val="22"/>
        </w:rPr>
        <w:t>Tolan’s</w:t>
      </w:r>
      <w:r w:rsidR="00D73956" w:rsidRPr="00AD239A">
        <w:rPr>
          <w:rFonts w:ascii="Garamond" w:hAnsi="Garamond"/>
          <w:szCs w:val="22"/>
        </w:rPr>
        <w:t xml:space="preserve"> Fourth Amendment claim, concluding that even if Cotton violated the Fourth Amendment in using deadly force</w:t>
      </w:r>
      <w:r w:rsidR="00556200" w:rsidRPr="00AD239A">
        <w:rPr>
          <w:rFonts w:ascii="Garamond" w:hAnsi="Garamond"/>
          <w:szCs w:val="22"/>
        </w:rPr>
        <w:t xml:space="preserve">, he was entitled to qualified immunity because it was not clearly established that an officer violates the Fourth Amendment in using deadly force in the circumstances at </w:t>
      </w:r>
      <w:r w:rsidR="009F5CAD" w:rsidRPr="00AD239A">
        <w:rPr>
          <w:rFonts w:ascii="Garamond" w:hAnsi="Garamond"/>
          <w:szCs w:val="22"/>
        </w:rPr>
        <w:t>hand.</w:t>
      </w:r>
      <w:r w:rsidR="004C6CD9" w:rsidRPr="00AD239A">
        <w:rPr>
          <w:rFonts w:ascii="Garamond" w:hAnsi="Garamond"/>
          <w:szCs w:val="22"/>
        </w:rPr>
        <w:t xml:space="preserve"> </w:t>
      </w:r>
    </w:p>
    <w:p w14:paraId="17C9AD1D" w14:textId="533A3218" w:rsidR="00556200" w:rsidRPr="00AD239A" w:rsidRDefault="00214F12" w:rsidP="00214F12">
      <w:pPr>
        <w:ind w:firstLine="360"/>
        <w:rPr>
          <w:rFonts w:ascii="Garamond" w:hAnsi="Garamond"/>
          <w:szCs w:val="22"/>
        </w:rPr>
      </w:pPr>
      <w:r w:rsidRPr="00AD239A">
        <w:rPr>
          <w:rFonts w:ascii="Garamond" w:hAnsi="Garamond"/>
          <w:szCs w:val="22"/>
        </w:rPr>
        <w:t xml:space="preserve">But the Supreme Court insisted that this was not a proper conclusion. When </w:t>
      </w:r>
      <w:r w:rsidR="00556200" w:rsidRPr="00AD239A">
        <w:rPr>
          <w:rFonts w:ascii="Garamond" w:hAnsi="Garamond"/>
          <w:szCs w:val="22"/>
        </w:rPr>
        <w:t xml:space="preserve">deciding whether a right is clearly established for the second prong of the qualified immunity analysis, a court </w:t>
      </w:r>
      <w:r w:rsidR="00D2085C" w:rsidRPr="00AD239A">
        <w:rPr>
          <w:rFonts w:ascii="Garamond" w:hAnsi="Garamond"/>
          <w:szCs w:val="22"/>
        </w:rPr>
        <w:t>must define</w:t>
      </w:r>
      <w:r w:rsidR="00556200" w:rsidRPr="00AD239A">
        <w:rPr>
          <w:rFonts w:ascii="Garamond" w:hAnsi="Garamond"/>
          <w:szCs w:val="22"/>
        </w:rPr>
        <w:t xml:space="preserve"> the right “on the basis of the ‘specific context of the case.’”</w:t>
      </w:r>
      <w:r w:rsidR="00904D94" w:rsidRPr="00AD239A">
        <w:rPr>
          <w:rStyle w:val="FootnoteReference"/>
          <w:rFonts w:ascii="Garamond" w:hAnsi="Garamond"/>
          <w:szCs w:val="22"/>
        </w:rPr>
        <w:footnoteReference w:id="28"/>
      </w:r>
      <w:r w:rsidR="00556200" w:rsidRPr="00AD239A">
        <w:rPr>
          <w:rFonts w:ascii="Garamond" w:hAnsi="Garamond"/>
          <w:szCs w:val="22"/>
        </w:rPr>
        <w:t xml:space="preserve"> It is not enough</w:t>
      </w:r>
      <w:r w:rsidR="00330812" w:rsidRPr="00AD239A">
        <w:rPr>
          <w:rFonts w:ascii="Garamond" w:hAnsi="Garamond"/>
          <w:szCs w:val="22"/>
        </w:rPr>
        <w:t>, for example,</w:t>
      </w:r>
      <w:r w:rsidR="00556200" w:rsidRPr="00AD239A">
        <w:rPr>
          <w:rFonts w:ascii="Garamond" w:hAnsi="Garamond"/>
          <w:szCs w:val="22"/>
        </w:rPr>
        <w:t xml:space="preserve"> that </w:t>
      </w:r>
      <w:r w:rsidR="00E51138" w:rsidRPr="00AD239A">
        <w:rPr>
          <w:rFonts w:ascii="Garamond" w:hAnsi="Garamond"/>
          <w:szCs w:val="22"/>
        </w:rPr>
        <w:t xml:space="preserve">a </w:t>
      </w:r>
      <w:r w:rsidR="00556200" w:rsidRPr="00AD239A">
        <w:rPr>
          <w:rFonts w:ascii="Garamond" w:hAnsi="Garamond"/>
          <w:szCs w:val="22"/>
        </w:rPr>
        <w:t xml:space="preserve">right against unreasonable seizures is clearly established; the question is whether it is clearly established that the right is violated by </w:t>
      </w:r>
      <w:r w:rsidR="009B7787" w:rsidRPr="00AD239A">
        <w:rPr>
          <w:rFonts w:ascii="Garamond" w:hAnsi="Garamond"/>
          <w:szCs w:val="22"/>
        </w:rPr>
        <w:t xml:space="preserve">the use of </w:t>
      </w:r>
      <w:r w:rsidR="00556200" w:rsidRPr="00AD239A">
        <w:rPr>
          <w:rFonts w:ascii="Garamond" w:hAnsi="Garamond"/>
          <w:szCs w:val="22"/>
        </w:rPr>
        <w:t xml:space="preserve">particular force </w:t>
      </w:r>
      <w:r w:rsidR="00101645" w:rsidRPr="00AD239A">
        <w:rPr>
          <w:rFonts w:ascii="Garamond" w:hAnsi="Garamond"/>
          <w:szCs w:val="22"/>
        </w:rPr>
        <w:t>in</w:t>
      </w:r>
      <w:r w:rsidR="00556200" w:rsidRPr="00AD239A">
        <w:rPr>
          <w:rFonts w:ascii="Garamond" w:hAnsi="Garamond"/>
          <w:szCs w:val="22"/>
        </w:rPr>
        <w:t xml:space="preserve"> particular circumstances</w:t>
      </w:r>
      <w:r w:rsidR="00615067" w:rsidRPr="00AD239A">
        <w:rPr>
          <w:rFonts w:ascii="Garamond" w:hAnsi="Garamond"/>
          <w:szCs w:val="22"/>
        </w:rPr>
        <w:t xml:space="preserve"> in light of particular facts</w:t>
      </w:r>
      <w:r w:rsidR="00556200" w:rsidRPr="00AD239A">
        <w:rPr>
          <w:rFonts w:ascii="Garamond" w:hAnsi="Garamond"/>
          <w:szCs w:val="22"/>
        </w:rPr>
        <w:t>.</w:t>
      </w:r>
      <w:r w:rsidR="00A507D4" w:rsidRPr="00AD239A">
        <w:rPr>
          <w:rStyle w:val="FootnoteReference"/>
          <w:rFonts w:ascii="Garamond" w:hAnsi="Garamond"/>
          <w:szCs w:val="22"/>
        </w:rPr>
        <w:footnoteReference w:id="29"/>
      </w:r>
      <w:r w:rsidR="00556200" w:rsidRPr="00AD239A">
        <w:rPr>
          <w:rFonts w:ascii="Garamond" w:hAnsi="Garamond"/>
          <w:szCs w:val="22"/>
        </w:rPr>
        <w:t xml:space="preserve"> In doing so, however, courts “must take care not to define a case’s ‘context’ in a manner that imports genuinely disputed factual propositions.”</w:t>
      </w:r>
      <w:r w:rsidR="00174DB2" w:rsidRPr="00AD239A">
        <w:rPr>
          <w:rStyle w:val="FootnoteReference"/>
          <w:rFonts w:ascii="Garamond" w:hAnsi="Garamond"/>
          <w:szCs w:val="22"/>
        </w:rPr>
        <w:footnoteReference w:id="30"/>
      </w:r>
    </w:p>
    <w:p w14:paraId="05FAE211" w14:textId="25C6E5D3" w:rsidR="00C523DA" w:rsidRPr="00AD239A" w:rsidRDefault="00556200" w:rsidP="003B0BC8">
      <w:pPr>
        <w:ind w:firstLine="360"/>
        <w:rPr>
          <w:rFonts w:ascii="Garamond" w:hAnsi="Garamond"/>
          <w:szCs w:val="22"/>
        </w:rPr>
      </w:pPr>
      <w:r w:rsidRPr="00AD239A">
        <w:rPr>
          <w:rFonts w:ascii="Garamond" w:hAnsi="Garamond"/>
          <w:szCs w:val="22"/>
        </w:rPr>
        <w:t>The context</w:t>
      </w:r>
      <w:r w:rsidR="005F3F36" w:rsidRPr="00AD239A">
        <w:rPr>
          <w:rFonts w:ascii="Garamond" w:hAnsi="Garamond"/>
          <w:szCs w:val="22"/>
        </w:rPr>
        <w:t xml:space="preserve"> </w:t>
      </w:r>
      <w:r w:rsidR="00214F12" w:rsidRPr="00AD239A">
        <w:rPr>
          <w:rFonts w:ascii="Garamond" w:hAnsi="Garamond"/>
          <w:szCs w:val="22"/>
        </w:rPr>
        <w:t>in</w:t>
      </w:r>
      <w:r w:rsidR="005F3F36" w:rsidRPr="00AD239A">
        <w:rPr>
          <w:rFonts w:ascii="Garamond" w:hAnsi="Garamond"/>
          <w:szCs w:val="22"/>
        </w:rPr>
        <w:t xml:space="preserve"> th</w:t>
      </w:r>
      <w:r w:rsidR="00214F12" w:rsidRPr="00AD239A">
        <w:rPr>
          <w:rFonts w:ascii="Garamond" w:hAnsi="Garamond"/>
          <w:szCs w:val="22"/>
        </w:rPr>
        <w:t>is</w:t>
      </w:r>
      <w:r w:rsidR="005F3F36" w:rsidRPr="00AD239A">
        <w:rPr>
          <w:rFonts w:ascii="Garamond" w:hAnsi="Garamond"/>
          <w:szCs w:val="22"/>
        </w:rPr>
        <w:t xml:space="preserve"> case</w:t>
      </w:r>
      <w:r w:rsidRPr="00AD239A">
        <w:rPr>
          <w:rFonts w:ascii="Garamond" w:hAnsi="Garamond"/>
          <w:szCs w:val="22"/>
        </w:rPr>
        <w:t xml:space="preserve">, according to the Fifth Circuit, was that </w:t>
      </w:r>
      <w:r w:rsidR="003B0BC8" w:rsidRPr="00AD239A">
        <w:rPr>
          <w:rFonts w:ascii="Garamond" w:hAnsi="Garamond"/>
          <w:szCs w:val="22"/>
        </w:rPr>
        <w:t xml:space="preserve">1) the </w:t>
      </w:r>
      <w:r w:rsidR="0055239C" w:rsidRPr="00AD239A">
        <w:rPr>
          <w:rFonts w:ascii="Garamond" w:hAnsi="Garamond"/>
          <w:szCs w:val="22"/>
        </w:rPr>
        <w:t>area in which the encounter took place was</w:t>
      </w:r>
      <w:r w:rsidR="003B0BC8" w:rsidRPr="00AD239A">
        <w:rPr>
          <w:rFonts w:ascii="Garamond" w:hAnsi="Garamond"/>
          <w:szCs w:val="22"/>
        </w:rPr>
        <w:t xml:space="preserve"> “dimly-lit</w:t>
      </w:r>
      <w:r w:rsidRPr="00AD239A">
        <w:rPr>
          <w:rFonts w:ascii="Garamond" w:hAnsi="Garamond"/>
          <w:szCs w:val="22"/>
        </w:rPr>
        <w:t>,</w:t>
      </w:r>
      <w:r w:rsidR="003B0BC8" w:rsidRPr="00AD239A">
        <w:rPr>
          <w:rFonts w:ascii="Garamond" w:hAnsi="Garamond"/>
          <w:szCs w:val="22"/>
        </w:rPr>
        <w:t>”</w:t>
      </w:r>
      <w:r w:rsidRPr="00AD239A">
        <w:rPr>
          <w:rFonts w:ascii="Garamond" w:hAnsi="Garamond"/>
          <w:szCs w:val="22"/>
        </w:rPr>
        <w:t xml:space="preserve"> </w:t>
      </w:r>
      <w:r w:rsidR="003B0BC8" w:rsidRPr="00AD239A">
        <w:rPr>
          <w:rFonts w:ascii="Garamond" w:hAnsi="Garamond"/>
          <w:szCs w:val="22"/>
        </w:rPr>
        <w:t xml:space="preserve">2) </w:t>
      </w:r>
      <w:r w:rsidRPr="00AD239A">
        <w:rPr>
          <w:rFonts w:ascii="Garamond" w:hAnsi="Garamond"/>
          <w:szCs w:val="22"/>
        </w:rPr>
        <w:t xml:space="preserve">Tolan’s mother refused repeated orders to remain quiet and clam, </w:t>
      </w:r>
      <w:r w:rsidR="003B0BC8" w:rsidRPr="00AD239A">
        <w:rPr>
          <w:rFonts w:ascii="Garamond" w:hAnsi="Garamond"/>
          <w:szCs w:val="22"/>
        </w:rPr>
        <w:t xml:space="preserve">3) </w:t>
      </w:r>
      <w:r w:rsidRPr="00AD239A">
        <w:rPr>
          <w:rFonts w:ascii="Garamond" w:hAnsi="Garamond"/>
          <w:szCs w:val="22"/>
        </w:rPr>
        <w:t>Tolan was shouting and being verbally threatening</w:t>
      </w:r>
      <w:r w:rsidR="003B0BC8" w:rsidRPr="00AD239A">
        <w:rPr>
          <w:rFonts w:ascii="Garamond" w:hAnsi="Garamond"/>
          <w:szCs w:val="22"/>
        </w:rPr>
        <w:t xml:space="preserve"> in telling Cotton to get his “fucking hands” off Tolan’s mother</w:t>
      </w:r>
      <w:r w:rsidRPr="00AD239A">
        <w:rPr>
          <w:rFonts w:ascii="Garamond" w:hAnsi="Garamond"/>
          <w:szCs w:val="22"/>
        </w:rPr>
        <w:t xml:space="preserve">, and </w:t>
      </w:r>
      <w:r w:rsidR="003B0BC8" w:rsidRPr="00AD239A">
        <w:rPr>
          <w:rFonts w:ascii="Garamond" w:hAnsi="Garamond"/>
          <w:szCs w:val="22"/>
        </w:rPr>
        <w:t xml:space="preserve">4) </w:t>
      </w:r>
      <w:r w:rsidRPr="00AD239A">
        <w:rPr>
          <w:rFonts w:ascii="Garamond" w:hAnsi="Garamond"/>
          <w:szCs w:val="22"/>
        </w:rPr>
        <w:t xml:space="preserve">Tolan </w:t>
      </w:r>
      <w:r w:rsidR="003B0BC8" w:rsidRPr="00AD239A">
        <w:rPr>
          <w:rFonts w:ascii="Garamond" w:hAnsi="Garamond"/>
          <w:szCs w:val="22"/>
        </w:rPr>
        <w:t>had risen to his feet</w:t>
      </w:r>
      <w:r w:rsidRPr="00AD239A">
        <w:rPr>
          <w:rFonts w:ascii="Garamond" w:hAnsi="Garamond"/>
          <w:szCs w:val="22"/>
        </w:rPr>
        <w:t xml:space="preserve"> and was moving towards Cotton</w:t>
      </w:r>
      <w:r w:rsidR="00C52291" w:rsidRPr="00AD239A">
        <w:rPr>
          <w:rFonts w:ascii="Garamond" w:hAnsi="Garamond"/>
          <w:szCs w:val="22"/>
        </w:rPr>
        <w:t>.</w:t>
      </w:r>
      <w:r w:rsidR="00C52291" w:rsidRPr="00AD239A">
        <w:rPr>
          <w:rStyle w:val="FootnoteReference"/>
          <w:rFonts w:ascii="Garamond" w:hAnsi="Garamond"/>
          <w:szCs w:val="22"/>
        </w:rPr>
        <w:footnoteReference w:id="31"/>
      </w:r>
      <w:r w:rsidRPr="00AD239A">
        <w:rPr>
          <w:rFonts w:ascii="Garamond" w:hAnsi="Garamond"/>
          <w:szCs w:val="22"/>
        </w:rPr>
        <w:t xml:space="preserve"> </w:t>
      </w:r>
      <w:r w:rsidR="003B0BC8" w:rsidRPr="00AD239A">
        <w:rPr>
          <w:rFonts w:ascii="Garamond" w:hAnsi="Garamond"/>
          <w:szCs w:val="22"/>
        </w:rPr>
        <w:t>But</w:t>
      </w:r>
      <w:r w:rsidR="00F96F5B" w:rsidRPr="00AD239A">
        <w:rPr>
          <w:rFonts w:ascii="Garamond" w:hAnsi="Garamond"/>
          <w:szCs w:val="22"/>
        </w:rPr>
        <w:t>, the Supreme Court stated,</w:t>
      </w:r>
      <w:r w:rsidR="003B0BC8" w:rsidRPr="00AD239A">
        <w:rPr>
          <w:rFonts w:ascii="Garamond" w:hAnsi="Garamond"/>
          <w:szCs w:val="22"/>
        </w:rPr>
        <w:t xml:space="preserve"> </w:t>
      </w:r>
      <w:r w:rsidR="00F96F5B" w:rsidRPr="00AD239A">
        <w:rPr>
          <w:rFonts w:ascii="Garamond" w:hAnsi="Garamond"/>
          <w:szCs w:val="22"/>
        </w:rPr>
        <w:t>the Fifth Circuit</w:t>
      </w:r>
      <w:r w:rsidR="003B0BC8" w:rsidRPr="00AD239A">
        <w:rPr>
          <w:rFonts w:ascii="Garamond" w:hAnsi="Garamond"/>
          <w:szCs w:val="22"/>
        </w:rPr>
        <w:t xml:space="preserve"> got there by weighing evidence and failing to credit competing evidence in </w:t>
      </w:r>
      <w:r w:rsidR="00C523DA" w:rsidRPr="00AD239A">
        <w:rPr>
          <w:rFonts w:ascii="Garamond" w:hAnsi="Garamond"/>
          <w:szCs w:val="22"/>
        </w:rPr>
        <w:t>defining that factual context.</w:t>
      </w:r>
    </w:p>
    <w:p w14:paraId="4242B11E" w14:textId="1391A2BE" w:rsidR="007C3613" w:rsidRPr="00AD239A" w:rsidRDefault="00F71761" w:rsidP="007C3613">
      <w:pPr>
        <w:ind w:firstLine="360"/>
        <w:rPr>
          <w:rFonts w:ascii="Garamond" w:hAnsi="Garamond"/>
          <w:szCs w:val="22"/>
        </w:rPr>
      </w:pPr>
      <w:r w:rsidRPr="00AD239A">
        <w:rPr>
          <w:rFonts w:ascii="Garamond" w:hAnsi="Garamond"/>
          <w:szCs w:val="22"/>
        </w:rPr>
        <w:t>The</w:t>
      </w:r>
      <w:r w:rsidR="003B0BC8" w:rsidRPr="00AD239A">
        <w:rPr>
          <w:rFonts w:ascii="Garamond" w:hAnsi="Garamond"/>
          <w:szCs w:val="22"/>
        </w:rPr>
        <w:t xml:space="preserve"> Court</w:t>
      </w:r>
      <w:r w:rsidR="005815D1" w:rsidRPr="00AD239A">
        <w:rPr>
          <w:rFonts w:ascii="Garamond" w:hAnsi="Garamond"/>
          <w:szCs w:val="22"/>
        </w:rPr>
        <w:t xml:space="preserve"> </w:t>
      </w:r>
      <w:r w:rsidR="009B7753" w:rsidRPr="00AD239A">
        <w:rPr>
          <w:rFonts w:ascii="Garamond" w:hAnsi="Garamond"/>
          <w:szCs w:val="22"/>
        </w:rPr>
        <w:t>specifically</w:t>
      </w:r>
      <w:r w:rsidR="003B0BC8" w:rsidRPr="00AD239A">
        <w:rPr>
          <w:rFonts w:ascii="Garamond" w:hAnsi="Garamond"/>
          <w:szCs w:val="22"/>
        </w:rPr>
        <w:t xml:space="preserve"> identified record evidence contradicting all four of those conclusions. Tolan and his parents testified that that the gas porch lamp was more than decorative and did give off light and that there were flood lights and motion-activated lights in front of the house. Tolan’s mother testified that she was insistent, but that she was neither agitated nor aggravated</w:t>
      </w:r>
      <w:r w:rsidR="00B43FFF" w:rsidRPr="00AD239A">
        <w:rPr>
          <w:rFonts w:ascii="Garamond" w:hAnsi="Garamond"/>
          <w:szCs w:val="22"/>
        </w:rPr>
        <w:t xml:space="preserve"> in talking to Cotton</w:t>
      </w:r>
      <w:r w:rsidR="003B0BC8" w:rsidRPr="00AD239A">
        <w:rPr>
          <w:rFonts w:ascii="Garamond" w:hAnsi="Garamond"/>
          <w:szCs w:val="22"/>
        </w:rPr>
        <w:t>. Tolan testified that he was not screaming. And although he did use an expletive, a reasonable juror could infer that those words reflected a plea rather than a threat, especially in light of Tolan’s</w:t>
      </w:r>
      <w:r w:rsidR="00E563D5" w:rsidRPr="00AD239A">
        <w:rPr>
          <w:rFonts w:ascii="Garamond" w:hAnsi="Garamond"/>
          <w:szCs w:val="22"/>
        </w:rPr>
        <w:t xml:space="preserve"> further</w:t>
      </w:r>
      <w:r w:rsidR="003B0BC8" w:rsidRPr="00AD239A">
        <w:rPr>
          <w:rFonts w:ascii="Garamond" w:hAnsi="Garamond"/>
          <w:szCs w:val="22"/>
        </w:rPr>
        <w:t xml:space="preserve"> testimony that Cotton used significant force in moving the woman towards the garage. Finally, Tolan testified that he was on his knees</w:t>
      </w:r>
      <w:r w:rsidR="0038710D" w:rsidRPr="00AD239A">
        <w:rPr>
          <w:rFonts w:ascii="Garamond" w:hAnsi="Garamond"/>
          <w:szCs w:val="22"/>
        </w:rPr>
        <w:t>, not his feet,</w:t>
      </w:r>
      <w:r w:rsidR="003B0BC8" w:rsidRPr="00AD239A">
        <w:rPr>
          <w:rFonts w:ascii="Garamond" w:hAnsi="Garamond"/>
          <w:szCs w:val="22"/>
        </w:rPr>
        <w:t xml:space="preserve"> and “wasn’t going anywhere.”</w:t>
      </w:r>
      <w:r w:rsidR="008D0F5E" w:rsidRPr="00AD239A">
        <w:rPr>
          <w:rStyle w:val="FootnoteReference"/>
          <w:rFonts w:ascii="Garamond" w:hAnsi="Garamond"/>
          <w:szCs w:val="22"/>
        </w:rPr>
        <w:footnoteReference w:id="32"/>
      </w:r>
      <w:r w:rsidR="003B0BC8" w:rsidRPr="00AD239A">
        <w:rPr>
          <w:rFonts w:ascii="Garamond" w:hAnsi="Garamond"/>
          <w:szCs w:val="22"/>
        </w:rPr>
        <w:t xml:space="preserve"> </w:t>
      </w:r>
      <w:r w:rsidR="00D93E5F" w:rsidRPr="00AD239A">
        <w:rPr>
          <w:rFonts w:ascii="Garamond" w:hAnsi="Garamond"/>
          <w:szCs w:val="22"/>
        </w:rPr>
        <w:t>This contradictory testimony mean</w:t>
      </w:r>
      <w:r w:rsidR="0083591F" w:rsidRPr="00AD239A">
        <w:rPr>
          <w:rFonts w:ascii="Garamond" w:hAnsi="Garamond"/>
          <w:szCs w:val="22"/>
        </w:rPr>
        <w:t>t</w:t>
      </w:r>
      <w:r w:rsidR="00D93E5F" w:rsidRPr="00AD239A">
        <w:rPr>
          <w:rFonts w:ascii="Garamond" w:hAnsi="Garamond"/>
          <w:szCs w:val="22"/>
        </w:rPr>
        <w:t xml:space="preserve"> there were factual disputes about what happened, making it</w:t>
      </w:r>
      <w:r w:rsidR="005E2F60" w:rsidRPr="00AD239A">
        <w:rPr>
          <w:rFonts w:ascii="Garamond" w:hAnsi="Garamond"/>
          <w:szCs w:val="22"/>
        </w:rPr>
        <w:t xml:space="preserve"> </w:t>
      </w:r>
      <w:r w:rsidR="00D93E5F" w:rsidRPr="00AD239A">
        <w:rPr>
          <w:rFonts w:ascii="Garamond" w:hAnsi="Garamond"/>
          <w:szCs w:val="22"/>
        </w:rPr>
        <w:t>impossible</w:t>
      </w:r>
      <w:r w:rsidR="005E2F60" w:rsidRPr="00AD239A">
        <w:rPr>
          <w:rFonts w:ascii="Garamond" w:hAnsi="Garamond"/>
          <w:szCs w:val="22"/>
        </w:rPr>
        <w:t xml:space="preserve"> on summary judgment to identify this as the </w:t>
      </w:r>
      <w:r w:rsidR="001D2A08" w:rsidRPr="00AD239A">
        <w:rPr>
          <w:rFonts w:ascii="Garamond" w:hAnsi="Garamond"/>
          <w:szCs w:val="22"/>
        </w:rPr>
        <w:t xml:space="preserve">specific </w:t>
      </w:r>
      <w:r w:rsidR="00A81991" w:rsidRPr="00AD239A">
        <w:rPr>
          <w:rFonts w:ascii="Garamond" w:hAnsi="Garamond"/>
          <w:szCs w:val="22"/>
        </w:rPr>
        <w:t>factual context in determining whether the right was clearly established for qualified immunity purposes</w:t>
      </w:r>
      <w:r w:rsidR="005E2F60" w:rsidRPr="00AD239A">
        <w:rPr>
          <w:rFonts w:ascii="Garamond" w:hAnsi="Garamond"/>
          <w:szCs w:val="22"/>
        </w:rPr>
        <w:t>.</w:t>
      </w:r>
    </w:p>
    <w:p w14:paraId="354CCFB5" w14:textId="3F5E6AC0" w:rsidR="005D453E" w:rsidRPr="00AD239A" w:rsidRDefault="005D453E" w:rsidP="007C3613">
      <w:pPr>
        <w:ind w:firstLine="360"/>
        <w:rPr>
          <w:rFonts w:ascii="Garamond" w:hAnsi="Garamond"/>
          <w:szCs w:val="22"/>
        </w:rPr>
      </w:pPr>
      <w:r w:rsidRPr="00AD239A">
        <w:rPr>
          <w:rFonts w:ascii="Garamond" w:hAnsi="Garamond"/>
          <w:szCs w:val="22"/>
        </w:rPr>
        <w:t>The Fifth Circuit therefore erred in not properly crediting the plaintiffs’ contrary evidence. But reasoning that there might be other facts suggesting the reasonableness of the defendant’s conduct</w:t>
      </w:r>
      <w:r w:rsidR="0010580C" w:rsidRPr="00AD239A">
        <w:rPr>
          <w:rFonts w:ascii="Garamond" w:hAnsi="Garamond"/>
          <w:szCs w:val="22"/>
        </w:rPr>
        <w:t>, the Court remanded to the Fifth Circuit to credit this evidence and draw inferences in the plaintiffs’ favor, whether the officers violated clearly established rights.</w:t>
      </w:r>
      <w:r w:rsidR="0010580C" w:rsidRPr="00AD239A">
        <w:rPr>
          <w:rStyle w:val="FootnoteReference"/>
          <w:rFonts w:ascii="Garamond" w:hAnsi="Garamond"/>
          <w:szCs w:val="22"/>
        </w:rPr>
        <w:footnoteReference w:id="33"/>
      </w:r>
    </w:p>
    <w:p w14:paraId="219425E0" w14:textId="2C014179" w:rsidR="00D93E5F" w:rsidRPr="00AD239A" w:rsidRDefault="00D90EAC" w:rsidP="00D93E5F">
      <w:pPr>
        <w:ind w:firstLine="360"/>
        <w:rPr>
          <w:rFonts w:ascii="Garamond" w:hAnsi="Garamond"/>
          <w:szCs w:val="22"/>
        </w:rPr>
      </w:pPr>
      <w:r w:rsidRPr="00AD239A">
        <w:rPr>
          <w:rFonts w:ascii="Garamond" w:hAnsi="Garamond"/>
          <w:szCs w:val="22"/>
        </w:rPr>
        <w:t>Two weeks later</w:t>
      </w:r>
      <w:r w:rsidR="00D93E5F" w:rsidRPr="00AD239A">
        <w:rPr>
          <w:rFonts w:ascii="Garamond" w:hAnsi="Garamond"/>
          <w:szCs w:val="22"/>
        </w:rPr>
        <w:t>,</w:t>
      </w:r>
      <w:r w:rsidRPr="00AD239A">
        <w:rPr>
          <w:rFonts w:ascii="Garamond" w:hAnsi="Garamond"/>
          <w:szCs w:val="22"/>
        </w:rPr>
        <w:t xml:space="preserve"> on May 19,</w:t>
      </w:r>
      <w:r w:rsidR="00D93E5F" w:rsidRPr="00AD239A">
        <w:rPr>
          <w:rFonts w:ascii="Garamond" w:hAnsi="Garamond"/>
          <w:szCs w:val="22"/>
        </w:rPr>
        <w:t xml:space="preserve"> the Court exp</w:t>
      </w:r>
      <w:r w:rsidR="00C9086E" w:rsidRPr="00AD239A">
        <w:rPr>
          <w:rFonts w:ascii="Garamond" w:hAnsi="Garamond"/>
          <w:szCs w:val="22"/>
        </w:rPr>
        <w:t>licitly</w:t>
      </w:r>
      <w:r w:rsidR="00D93E5F" w:rsidRPr="00AD239A">
        <w:rPr>
          <w:rFonts w:ascii="Garamond" w:hAnsi="Garamond"/>
          <w:szCs w:val="22"/>
        </w:rPr>
        <w:t xml:space="preserve"> </w:t>
      </w:r>
      <w:r w:rsidR="00264532" w:rsidRPr="00AD239A">
        <w:rPr>
          <w:rFonts w:ascii="Garamond" w:hAnsi="Garamond"/>
          <w:szCs w:val="22"/>
        </w:rPr>
        <w:t>issued a GVR (Grant, Vacate, and Remand)</w:t>
      </w:r>
      <w:r w:rsidR="00D93E5F" w:rsidRPr="00AD239A">
        <w:rPr>
          <w:rFonts w:ascii="Garamond" w:hAnsi="Garamond"/>
          <w:szCs w:val="22"/>
        </w:rPr>
        <w:t xml:space="preserve"> </w:t>
      </w:r>
      <w:r w:rsidR="00264532" w:rsidRPr="00AD239A">
        <w:rPr>
          <w:rFonts w:ascii="Garamond" w:hAnsi="Garamond"/>
          <w:szCs w:val="22"/>
        </w:rPr>
        <w:t>order</w:t>
      </w:r>
      <w:r w:rsidR="009C2D37" w:rsidRPr="00AD239A">
        <w:rPr>
          <w:rFonts w:ascii="Garamond" w:hAnsi="Garamond"/>
          <w:szCs w:val="22"/>
        </w:rPr>
        <w:t xml:space="preserve"> in </w:t>
      </w:r>
      <w:r w:rsidR="00D93E5F" w:rsidRPr="00AD239A">
        <w:rPr>
          <w:rFonts w:ascii="Garamond" w:hAnsi="Garamond"/>
          <w:i/>
          <w:szCs w:val="22"/>
        </w:rPr>
        <w:t>Thomas v. Nugent</w:t>
      </w:r>
      <w:r w:rsidR="00D93E5F" w:rsidRPr="00AD239A">
        <w:rPr>
          <w:rFonts w:ascii="Garamond" w:hAnsi="Garamond"/>
          <w:szCs w:val="22"/>
        </w:rPr>
        <w:t xml:space="preserve">, another Fifth Circuit decision (this one per curiam), for reconsideration in light of </w:t>
      </w:r>
      <w:r w:rsidR="00D93E5F" w:rsidRPr="00AD239A">
        <w:rPr>
          <w:rFonts w:ascii="Garamond" w:hAnsi="Garamond"/>
          <w:i/>
          <w:szCs w:val="22"/>
        </w:rPr>
        <w:t>Tolan</w:t>
      </w:r>
      <w:r w:rsidR="00D93E5F" w:rsidRPr="00AD239A">
        <w:rPr>
          <w:rFonts w:ascii="Garamond" w:hAnsi="Garamond"/>
          <w:szCs w:val="22"/>
        </w:rPr>
        <w:t>.</w:t>
      </w:r>
      <w:r w:rsidR="00934A86" w:rsidRPr="00AD239A">
        <w:rPr>
          <w:rStyle w:val="FootnoteReference"/>
          <w:rFonts w:ascii="Garamond" w:hAnsi="Garamond"/>
          <w:szCs w:val="22"/>
        </w:rPr>
        <w:footnoteReference w:id="34"/>
      </w:r>
      <w:r w:rsidR="00D93E5F" w:rsidRPr="00AD239A">
        <w:rPr>
          <w:rFonts w:ascii="Garamond" w:hAnsi="Garamond"/>
          <w:szCs w:val="22"/>
        </w:rPr>
        <w:t xml:space="preserve"> </w:t>
      </w:r>
      <w:r w:rsidR="00D93E5F" w:rsidRPr="00AD239A">
        <w:rPr>
          <w:rFonts w:ascii="Garamond" w:hAnsi="Garamond"/>
          <w:i/>
          <w:szCs w:val="22"/>
        </w:rPr>
        <w:t>Thomas</w:t>
      </w:r>
      <w:r w:rsidR="00D93E5F" w:rsidRPr="00AD239A">
        <w:rPr>
          <w:rFonts w:ascii="Garamond" w:hAnsi="Garamond"/>
          <w:szCs w:val="22"/>
        </w:rPr>
        <w:t xml:space="preserve"> </w:t>
      </w:r>
      <w:r w:rsidR="00842698" w:rsidRPr="00AD239A">
        <w:rPr>
          <w:rFonts w:ascii="Garamond" w:hAnsi="Garamond"/>
          <w:szCs w:val="22"/>
        </w:rPr>
        <w:t>also was</w:t>
      </w:r>
      <w:r w:rsidR="0092216D" w:rsidRPr="00AD239A">
        <w:rPr>
          <w:rFonts w:ascii="Garamond" w:hAnsi="Garamond"/>
          <w:szCs w:val="22"/>
        </w:rPr>
        <w:t xml:space="preserve"> a</w:t>
      </w:r>
      <w:r w:rsidR="00D93E5F" w:rsidRPr="00AD239A">
        <w:rPr>
          <w:rFonts w:ascii="Garamond" w:hAnsi="Garamond"/>
          <w:szCs w:val="22"/>
        </w:rPr>
        <w:t xml:space="preserve"> § 1983 </w:t>
      </w:r>
      <w:r w:rsidR="00B66939" w:rsidRPr="00AD239A">
        <w:rPr>
          <w:rFonts w:ascii="Garamond" w:hAnsi="Garamond"/>
          <w:szCs w:val="22"/>
        </w:rPr>
        <w:t>action</w:t>
      </w:r>
      <w:r w:rsidR="00D93E5F" w:rsidRPr="00AD239A">
        <w:rPr>
          <w:rFonts w:ascii="Garamond" w:hAnsi="Garamond"/>
          <w:szCs w:val="22"/>
        </w:rPr>
        <w:t xml:space="preserve"> seeking damages for excessive force</w:t>
      </w:r>
      <w:r w:rsidR="00B66939" w:rsidRPr="00AD239A">
        <w:rPr>
          <w:rFonts w:ascii="Garamond" w:hAnsi="Garamond"/>
          <w:szCs w:val="22"/>
        </w:rPr>
        <w:t xml:space="preserve"> under the Fourth Amendment, with the defendant officer asserting qualified immunity</w:t>
      </w:r>
      <w:r w:rsidR="00D93E5F" w:rsidRPr="00AD239A">
        <w:rPr>
          <w:rFonts w:ascii="Garamond" w:hAnsi="Garamond"/>
          <w:szCs w:val="22"/>
        </w:rPr>
        <w:t xml:space="preserve">. </w:t>
      </w:r>
      <w:r w:rsidR="00650FC3" w:rsidRPr="00AD239A">
        <w:rPr>
          <w:rFonts w:ascii="Garamond" w:hAnsi="Garamond"/>
          <w:szCs w:val="22"/>
        </w:rPr>
        <w:t xml:space="preserve">This case </w:t>
      </w:r>
      <w:r w:rsidR="00D93E5F" w:rsidRPr="00AD239A">
        <w:rPr>
          <w:rFonts w:ascii="Garamond" w:hAnsi="Garamond"/>
          <w:szCs w:val="22"/>
        </w:rPr>
        <w:t>arose from the death of an arrestee who was TASEd eight times by an officer attempting to bring him into custody on an outstanding warrant; the man apparently died from complications of sickle cell anemia.</w:t>
      </w:r>
      <w:r w:rsidR="00842698" w:rsidRPr="00AD239A">
        <w:rPr>
          <w:rStyle w:val="FootnoteReference"/>
          <w:rFonts w:ascii="Garamond" w:hAnsi="Garamond"/>
          <w:szCs w:val="22"/>
        </w:rPr>
        <w:footnoteReference w:id="35"/>
      </w:r>
    </w:p>
    <w:p w14:paraId="4BC9A6C1" w14:textId="44B6DEDE" w:rsidR="00D93E5F" w:rsidRPr="00AD239A" w:rsidRDefault="00D93E5F" w:rsidP="003B0BC8">
      <w:pPr>
        <w:ind w:firstLine="360"/>
        <w:rPr>
          <w:rFonts w:ascii="Garamond" w:hAnsi="Garamond"/>
          <w:szCs w:val="22"/>
        </w:rPr>
      </w:pPr>
      <w:r w:rsidRPr="00AD239A">
        <w:rPr>
          <w:rFonts w:ascii="Garamond" w:hAnsi="Garamond"/>
          <w:szCs w:val="22"/>
        </w:rPr>
        <w:t xml:space="preserve">As in </w:t>
      </w:r>
      <w:r w:rsidRPr="00AD239A">
        <w:rPr>
          <w:rFonts w:ascii="Garamond" w:hAnsi="Garamond"/>
          <w:i/>
          <w:szCs w:val="22"/>
        </w:rPr>
        <w:t>Tolan</w:t>
      </w:r>
      <w:r w:rsidRPr="00AD239A">
        <w:rPr>
          <w:rFonts w:ascii="Garamond" w:hAnsi="Garamond"/>
          <w:szCs w:val="22"/>
        </w:rPr>
        <w:t xml:space="preserve">, the Fifth Circuit </w:t>
      </w:r>
      <w:r w:rsidR="00E66A50" w:rsidRPr="00AD239A">
        <w:rPr>
          <w:rFonts w:ascii="Garamond" w:hAnsi="Garamond"/>
          <w:szCs w:val="22"/>
        </w:rPr>
        <w:t xml:space="preserve">had </w:t>
      </w:r>
      <w:r w:rsidRPr="00AD239A">
        <w:rPr>
          <w:rFonts w:ascii="Garamond" w:hAnsi="Garamond"/>
          <w:szCs w:val="22"/>
        </w:rPr>
        <w:t xml:space="preserve">held that the </w:t>
      </w:r>
      <w:r w:rsidR="00C9086E" w:rsidRPr="00AD239A">
        <w:rPr>
          <w:rFonts w:ascii="Garamond" w:hAnsi="Garamond"/>
          <w:szCs w:val="22"/>
        </w:rPr>
        <w:t>officer</w:t>
      </w:r>
      <w:r w:rsidRPr="00AD239A">
        <w:rPr>
          <w:rFonts w:ascii="Garamond" w:hAnsi="Garamond"/>
          <w:szCs w:val="22"/>
        </w:rPr>
        <w:t xml:space="preserve"> was entitled to summary judgment on qualified immunity because the right at issue was not clearly established. And the court again defined the specific </w:t>
      </w:r>
      <w:r w:rsidR="0060793A" w:rsidRPr="00AD239A">
        <w:rPr>
          <w:rFonts w:ascii="Garamond" w:hAnsi="Garamond"/>
          <w:szCs w:val="22"/>
        </w:rPr>
        <w:t xml:space="preserve">specific </w:t>
      </w:r>
      <w:r w:rsidRPr="00AD239A">
        <w:rPr>
          <w:rFonts w:ascii="Garamond" w:hAnsi="Garamond"/>
          <w:szCs w:val="22"/>
        </w:rPr>
        <w:t>context</w:t>
      </w:r>
      <w:r w:rsidR="00CE1016" w:rsidRPr="00AD239A">
        <w:rPr>
          <w:rFonts w:ascii="Garamond" w:hAnsi="Garamond"/>
          <w:szCs w:val="22"/>
        </w:rPr>
        <w:t xml:space="preserve"> of the right</w:t>
      </w:r>
      <w:r w:rsidR="0060793A" w:rsidRPr="00AD239A">
        <w:rPr>
          <w:rFonts w:ascii="Garamond" w:hAnsi="Garamond"/>
          <w:szCs w:val="22"/>
        </w:rPr>
        <w:t xml:space="preserve"> to </w:t>
      </w:r>
      <w:r w:rsidRPr="00AD239A">
        <w:rPr>
          <w:rFonts w:ascii="Garamond" w:hAnsi="Garamond"/>
          <w:szCs w:val="22"/>
        </w:rPr>
        <w:t>distinguish prior precedent that might establish the right.</w:t>
      </w:r>
      <w:r w:rsidR="00DB1867" w:rsidRPr="00AD239A">
        <w:rPr>
          <w:rStyle w:val="FootnoteReference"/>
          <w:rFonts w:ascii="Garamond" w:hAnsi="Garamond"/>
          <w:szCs w:val="22"/>
        </w:rPr>
        <w:footnoteReference w:id="36"/>
      </w:r>
      <w:r w:rsidR="004D388E" w:rsidRPr="00AD239A">
        <w:rPr>
          <w:rFonts w:ascii="Garamond" w:hAnsi="Garamond"/>
          <w:szCs w:val="22"/>
        </w:rPr>
        <w:t xml:space="preserve"> </w:t>
      </w:r>
    </w:p>
    <w:p w14:paraId="032790E8" w14:textId="682B3021" w:rsidR="00AD01D5" w:rsidRPr="00AD239A" w:rsidRDefault="00D93E5F" w:rsidP="003B0BC8">
      <w:pPr>
        <w:ind w:firstLine="360"/>
        <w:rPr>
          <w:rFonts w:ascii="Garamond" w:hAnsi="Garamond"/>
          <w:szCs w:val="22"/>
        </w:rPr>
      </w:pPr>
      <w:r w:rsidRPr="00AD239A">
        <w:rPr>
          <w:rFonts w:ascii="Garamond" w:hAnsi="Garamond"/>
          <w:szCs w:val="22"/>
        </w:rPr>
        <w:t xml:space="preserve">It is not clear from either the Fifth Circuit </w:t>
      </w:r>
      <w:r w:rsidR="00D029BD" w:rsidRPr="00AD239A">
        <w:rPr>
          <w:rFonts w:ascii="Garamond" w:hAnsi="Garamond"/>
          <w:szCs w:val="22"/>
        </w:rPr>
        <w:t>opinion</w:t>
      </w:r>
      <w:r w:rsidRPr="00AD239A">
        <w:rPr>
          <w:rFonts w:ascii="Garamond" w:hAnsi="Garamond"/>
          <w:szCs w:val="22"/>
        </w:rPr>
        <w:t xml:space="preserve"> or the GVR order what aspects of the specific context were potentially based on genuinely disputed facts.</w:t>
      </w:r>
      <w:r w:rsidR="00952D42" w:rsidRPr="00AD239A">
        <w:rPr>
          <w:rFonts w:ascii="Garamond" w:hAnsi="Garamond"/>
          <w:szCs w:val="22"/>
        </w:rPr>
        <w:t xml:space="preserve"> The most likely problems </w:t>
      </w:r>
      <w:r w:rsidR="00C251E9" w:rsidRPr="00AD239A">
        <w:rPr>
          <w:rFonts w:ascii="Garamond" w:hAnsi="Garamond"/>
          <w:szCs w:val="22"/>
        </w:rPr>
        <w:t>involved the court’s conclusion</w:t>
      </w:r>
      <w:r w:rsidR="00903627" w:rsidRPr="00AD239A">
        <w:rPr>
          <w:rFonts w:ascii="Garamond" w:hAnsi="Garamond"/>
          <w:szCs w:val="22"/>
        </w:rPr>
        <w:t xml:space="preserve"> that the decedent here “attempted to evade arrest, was subdued only through the threat of deadly force, and did not comply with the officers’ repeated requests to cooperate in effectuating arrest.”</w:t>
      </w:r>
      <w:r w:rsidR="003575F8" w:rsidRPr="00AD239A">
        <w:rPr>
          <w:rStyle w:val="FootnoteReference"/>
          <w:rFonts w:ascii="Garamond" w:hAnsi="Garamond"/>
          <w:szCs w:val="22"/>
        </w:rPr>
        <w:footnoteReference w:id="37"/>
      </w:r>
      <w:r w:rsidR="00903627" w:rsidRPr="00AD239A">
        <w:rPr>
          <w:rFonts w:ascii="Garamond" w:hAnsi="Garamond"/>
          <w:szCs w:val="22"/>
        </w:rPr>
        <w:t xml:space="preserve"> </w:t>
      </w:r>
      <w:r w:rsidR="00ED1D2E" w:rsidRPr="00AD239A">
        <w:rPr>
          <w:rFonts w:ascii="Garamond" w:hAnsi="Garamond"/>
          <w:szCs w:val="22"/>
        </w:rPr>
        <w:t>So defined, that context</w:t>
      </w:r>
      <w:r w:rsidR="00903627" w:rsidRPr="00AD239A">
        <w:rPr>
          <w:rFonts w:ascii="Garamond" w:hAnsi="Garamond"/>
          <w:szCs w:val="22"/>
        </w:rPr>
        <w:t xml:space="preserve"> </w:t>
      </w:r>
      <w:r w:rsidR="00ED1AD3" w:rsidRPr="00AD239A">
        <w:rPr>
          <w:rFonts w:ascii="Garamond" w:hAnsi="Garamond"/>
          <w:szCs w:val="22"/>
        </w:rPr>
        <w:t>meant the case did not involve</w:t>
      </w:r>
      <w:r w:rsidR="00903627" w:rsidRPr="00AD239A">
        <w:rPr>
          <w:rFonts w:ascii="Garamond" w:hAnsi="Garamond"/>
          <w:szCs w:val="22"/>
        </w:rPr>
        <w:t xml:space="preserve"> </w:t>
      </w:r>
      <w:r w:rsidR="00ED1AD3" w:rsidRPr="00AD239A">
        <w:rPr>
          <w:rFonts w:ascii="Garamond" w:hAnsi="Garamond"/>
          <w:szCs w:val="22"/>
        </w:rPr>
        <w:t xml:space="preserve">an </w:t>
      </w:r>
      <w:r w:rsidR="00903627" w:rsidRPr="00AD239A">
        <w:rPr>
          <w:rFonts w:ascii="Garamond" w:hAnsi="Garamond"/>
          <w:szCs w:val="22"/>
        </w:rPr>
        <w:t>“obvious</w:t>
      </w:r>
      <w:r w:rsidR="003575F8" w:rsidRPr="00AD239A">
        <w:rPr>
          <w:rFonts w:ascii="Garamond" w:hAnsi="Garamond"/>
          <w:szCs w:val="22"/>
        </w:rPr>
        <w:t>” violation</w:t>
      </w:r>
      <w:r w:rsidR="00903627" w:rsidRPr="00AD239A">
        <w:rPr>
          <w:rFonts w:ascii="Garamond" w:hAnsi="Garamond"/>
          <w:szCs w:val="22"/>
        </w:rPr>
        <w:t xml:space="preserve"> not requiring a body of case law to clearly establish the right</w:t>
      </w:r>
      <w:r w:rsidR="003575F8" w:rsidRPr="00AD239A">
        <w:rPr>
          <w:rFonts w:ascii="Garamond" w:hAnsi="Garamond"/>
          <w:szCs w:val="22"/>
        </w:rPr>
        <w:t>.</w:t>
      </w:r>
      <w:r w:rsidR="003575F8" w:rsidRPr="00AD239A">
        <w:rPr>
          <w:rStyle w:val="FootnoteReference"/>
          <w:rFonts w:ascii="Garamond" w:hAnsi="Garamond"/>
          <w:szCs w:val="22"/>
        </w:rPr>
        <w:footnoteReference w:id="38"/>
      </w:r>
      <w:r w:rsidR="003575F8" w:rsidRPr="00AD239A">
        <w:rPr>
          <w:rFonts w:ascii="Garamond" w:hAnsi="Garamond"/>
          <w:szCs w:val="22"/>
        </w:rPr>
        <w:t xml:space="preserve"> </w:t>
      </w:r>
      <w:r w:rsidR="00903627" w:rsidRPr="00AD239A">
        <w:rPr>
          <w:rFonts w:ascii="Garamond" w:hAnsi="Garamond"/>
          <w:szCs w:val="22"/>
        </w:rPr>
        <w:t xml:space="preserve">But the facts as recited earlier in the opinion at least potentially suggest not a threatening </w:t>
      </w:r>
      <w:r w:rsidR="00ED1AD3" w:rsidRPr="00AD239A">
        <w:rPr>
          <w:rFonts w:ascii="Garamond" w:hAnsi="Garamond"/>
          <w:szCs w:val="22"/>
        </w:rPr>
        <w:t xml:space="preserve">person </w:t>
      </w:r>
      <w:r w:rsidR="00903627" w:rsidRPr="00AD239A">
        <w:rPr>
          <w:rFonts w:ascii="Garamond" w:hAnsi="Garamond"/>
          <w:szCs w:val="22"/>
        </w:rPr>
        <w:t>resisting arrest, but someone suffering from</w:t>
      </w:r>
      <w:r w:rsidR="00ED1AD3" w:rsidRPr="00AD239A">
        <w:rPr>
          <w:rFonts w:ascii="Garamond" w:hAnsi="Garamond"/>
          <w:szCs w:val="22"/>
        </w:rPr>
        <w:t xml:space="preserve"> significant</w:t>
      </w:r>
      <w:r w:rsidR="00903627" w:rsidRPr="00AD239A">
        <w:rPr>
          <w:rFonts w:ascii="Garamond" w:hAnsi="Garamond"/>
          <w:szCs w:val="22"/>
        </w:rPr>
        <w:t xml:space="preserve"> physical and mental health problems. In fact, in denying summary judgment </w:t>
      </w:r>
      <w:r w:rsidR="00BA3F1F" w:rsidRPr="00AD239A">
        <w:rPr>
          <w:rFonts w:ascii="Garamond" w:hAnsi="Garamond"/>
          <w:szCs w:val="22"/>
        </w:rPr>
        <w:t xml:space="preserve">for the defendant </w:t>
      </w:r>
      <w:r w:rsidR="00903627" w:rsidRPr="00AD239A">
        <w:rPr>
          <w:rFonts w:ascii="Garamond" w:hAnsi="Garamond"/>
          <w:szCs w:val="22"/>
        </w:rPr>
        <w:t>on the excessive force claim, the district court had emphasized evidence that the decedent was crying out for help and that it was uncertain what he was doing and whether he truly posed a threat</w:t>
      </w:r>
      <w:r w:rsidR="003566A0" w:rsidRPr="00AD239A">
        <w:rPr>
          <w:rFonts w:ascii="Garamond" w:hAnsi="Garamond"/>
          <w:szCs w:val="22"/>
        </w:rPr>
        <w:t xml:space="preserve"> to the officers</w:t>
      </w:r>
      <w:r w:rsidR="00903627" w:rsidRPr="00AD239A">
        <w:rPr>
          <w:rFonts w:ascii="Garamond" w:hAnsi="Garamond"/>
          <w:szCs w:val="22"/>
        </w:rPr>
        <w:t>.</w:t>
      </w:r>
      <w:r w:rsidR="00065EA1" w:rsidRPr="00AD239A">
        <w:rPr>
          <w:rStyle w:val="FootnoteReference"/>
          <w:rFonts w:ascii="Garamond" w:hAnsi="Garamond"/>
          <w:szCs w:val="22"/>
        </w:rPr>
        <w:footnoteReference w:id="39"/>
      </w:r>
    </w:p>
    <w:p w14:paraId="3A8387E2" w14:textId="2236B182" w:rsidR="00D93E5F" w:rsidRPr="00AD239A" w:rsidRDefault="00903627" w:rsidP="00AA1A30">
      <w:pPr>
        <w:ind w:firstLine="360"/>
        <w:rPr>
          <w:rFonts w:ascii="Garamond" w:hAnsi="Garamond"/>
          <w:szCs w:val="22"/>
        </w:rPr>
      </w:pPr>
      <w:r w:rsidRPr="00AD239A">
        <w:rPr>
          <w:rFonts w:ascii="Garamond" w:hAnsi="Garamond"/>
          <w:szCs w:val="22"/>
        </w:rPr>
        <w:t xml:space="preserve">The court of appeals also did not discuss </w:t>
      </w:r>
      <w:r w:rsidR="00AD01D5" w:rsidRPr="00AD239A">
        <w:rPr>
          <w:rFonts w:ascii="Garamond" w:hAnsi="Garamond"/>
          <w:szCs w:val="22"/>
        </w:rPr>
        <w:t xml:space="preserve">a different </w:t>
      </w:r>
      <w:r w:rsidR="002D3F4A" w:rsidRPr="00AD239A">
        <w:rPr>
          <w:rFonts w:ascii="Garamond" w:hAnsi="Garamond"/>
          <w:szCs w:val="22"/>
        </w:rPr>
        <w:t>infernece</w:t>
      </w:r>
      <w:r w:rsidR="00AD01D5" w:rsidRPr="00AD239A">
        <w:rPr>
          <w:rFonts w:ascii="Garamond" w:hAnsi="Garamond"/>
          <w:szCs w:val="22"/>
        </w:rPr>
        <w:t>n favorable to the plaintiff--that</w:t>
      </w:r>
      <w:r w:rsidRPr="00AD239A">
        <w:rPr>
          <w:rFonts w:ascii="Garamond" w:hAnsi="Garamond"/>
          <w:szCs w:val="22"/>
        </w:rPr>
        <w:t xml:space="preserve"> the decedent’s physical and mental problems</w:t>
      </w:r>
      <w:r w:rsidR="000871CD" w:rsidRPr="00AD239A">
        <w:rPr>
          <w:rFonts w:ascii="Garamond" w:hAnsi="Garamond"/>
          <w:szCs w:val="22"/>
        </w:rPr>
        <w:t xml:space="preserve"> and failure to comply</w:t>
      </w:r>
      <w:r w:rsidR="001B3157" w:rsidRPr="00AD239A">
        <w:rPr>
          <w:rFonts w:ascii="Garamond" w:hAnsi="Garamond"/>
          <w:szCs w:val="22"/>
        </w:rPr>
        <w:t xml:space="preserve">, purportedly justifying subsequent TAsings, </w:t>
      </w:r>
      <w:r w:rsidR="00F80C25" w:rsidRPr="00AD239A">
        <w:rPr>
          <w:rFonts w:ascii="Garamond" w:hAnsi="Garamond"/>
          <w:szCs w:val="22"/>
        </w:rPr>
        <w:t>might have been</w:t>
      </w:r>
      <w:r w:rsidRPr="00AD239A">
        <w:rPr>
          <w:rFonts w:ascii="Garamond" w:hAnsi="Garamond"/>
          <w:szCs w:val="22"/>
        </w:rPr>
        <w:t xml:space="preserve"> caused by the earlier TASings (on</w:t>
      </w:r>
      <w:r w:rsidR="00AD1767" w:rsidRPr="00AD239A">
        <w:rPr>
          <w:rFonts w:ascii="Garamond" w:hAnsi="Garamond"/>
          <w:szCs w:val="22"/>
        </w:rPr>
        <w:t>e of which was at a higher intensity</w:t>
      </w:r>
      <w:r w:rsidR="00BA3F1F" w:rsidRPr="00AD239A">
        <w:rPr>
          <w:rFonts w:ascii="Garamond" w:hAnsi="Garamond"/>
          <w:szCs w:val="22"/>
        </w:rPr>
        <w:t xml:space="preserve"> level</w:t>
      </w:r>
      <w:r w:rsidR="00A66DE8" w:rsidRPr="00AD239A">
        <w:rPr>
          <w:rFonts w:ascii="Garamond" w:hAnsi="Garamond"/>
          <w:szCs w:val="22"/>
        </w:rPr>
        <w:t xml:space="preserve">, designed to incapacitate). In other words, the officer’s initial uses of the TASER produced </w:t>
      </w:r>
      <w:r w:rsidR="00AD1767" w:rsidRPr="00AD239A">
        <w:rPr>
          <w:rFonts w:ascii="Garamond" w:hAnsi="Garamond"/>
          <w:szCs w:val="22"/>
        </w:rPr>
        <w:t>the very non-compliant behavi</w:t>
      </w:r>
      <w:r w:rsidR="00846C18" w:rsidRPr="00AD239A">
        <w:rPr>
          <w:rFonts w:ascii="Garamond" w:hAnsi="Garamond"/>
          <w:szCs w:val="22"/>
        </w:rPr>
        <w:t>or that lead to the subsequent uses</w:t>
      </w:r>
      <w:r w:rsidR="00AD1767" w:rsidRPr="00AD239A">
        <w:rPr>
          <w:rFonts w:ascii="Garamond" w:hAnsi="Garamond"/>
          <w:szCs w:val="22"/>
        </w:rPr>
        <w:t>.</w:t>
      </w:r>
      <w:r w:rsidR="00063B46" w:rsidRPr="00AD239A">
        <w:rPr>
          <w:rFonts w:ascii="Garamond" w:hAnsi="Garamond"/>
          <w:szCs w:val="22"/>
        </w:rPr>
        <w:t xml:space="preserve"> Finally, there are potential issues surrounded that single shot at the higher intensity level--both whether the officer intended to do so (the Fifth Circuit concluded he </w:t>
      </w:r>
      <w:r w:rsidR="00AA1A30" w:rsidRPr="00AD239A">
        <w:rPr>
          <w:rFonts w:ascii="Garamond" w:hAnsi="Garamond"/>
          <w:szCs w:val="22"/>
        </w:rPr>
        <w:t xml:space="preserve">did not, although it cited no record evidence) and whether that severity provides an </w:t>
      </w:r>
      <w:r w:rsidR="00AD1767" w:rsidRPr="00AD239A">
        <w:rPr>
          <w:rFonts w:ascii="Garamond" w:hAnsi="Garamond"/>
          <w:szCs w:val="22"/>
        </w:rPr>
        <w:t>alternative explanation for the</w:t>
      </w:r>
      <w:r w:rsidR="00BA3F1F" w:rsidRPr="00AD239A">
        <w:rPr>
          <w:rFonts w:ascii="Garamond" w:hAnsi="Garamond"/>
          <w:szCs w:val="22"/>
        </w:rPr>
        <w:t xml:space="preserve"> decedent’s</w:t>
      </w:r>
      <w:r w:rsidR="00AD1767" w:rsidRPr="00AD239A">
        <w:rPr>
          <w:rFonts w:ascii="Garamond" w:hAnsi="Garamond"/>
          <w:szCs w:val="22"/>
        </w:rPr>
        <w:t xml:space="preserve"> continued failure to comply.</w:t>
      </w:r>
    </w:p>
    <w:p w14:paraId="50F91B83" w14:textId="77777777" w:rsidR="006E155D" w:rsidRPr="00AD239A" w:rsidRDefault="006E155D" w:rsidP="003B0BC8">
      <w:pPr>
        <w:ind w:firstLine="360"/>
        <w:rPr>
          <w:rFonts w:ascii="Garamond" w:hAnsi="Garamond"/>
          <w:szCs w:val="22"/>
        </w:rPr>
      </w:pPr>
    </w:p>
    <w:p w14:paraId="7FA163D3" w14:textId="4E17F838" w:rsidR="006E155D" w:rsidRPr="00AD239A" w:rsidRDefault="006E155D" w:rsidP="006E155D">
      <w:pPr>
        <w:rPr>
          <w:rFonts w:ascii="Garamond" w:hAnsi="Garamond"/>
          <w:szCs w:val="22"/>
        </w:rPr>
      </w:pPr>
      <w:r w:rsidRPr="00AD239A">
        <w:rPr>
          <w:rFonts w:ascii="Garamond" w:hAnsi="Garamond"/>
          <w:szCs w:val="22"/>
        </w:rPr>
        <w:t>B. What These Cases Portend</w:t>
      </w:r>
    </w:p>
    <w:p w14:paraId="6D7FA3CA" w14:textId="77777777" w:rsidR="006E155D" w:rsidRPr="00AD239A" w:rsidRDefault="006E155D" w:rsidP="003B0BC8">
      <w:pPr>
        <w:ind w:firstLine="360"/>
        <w:rPr>
          <w:rFonts w:ascii="Garamond" w:hAnsi="Garamond"/>
          <w:szCs w:val="22"/>
        </w:rPr>
      </w:pPr>
    </w:p>
    <w:p w14:paraId="7C860056" w14:textId="57220788" w:rsidR="00556200" w:rsidRPr="00AD239A" w:rsidRDefault="00C60EF5" w:rsidP="00556200">
      <w:pPr>
        <w:ind w:firstLine="360"/>
        <w:rPr>
          <w:rFonts w:ascii="Garamond" w:hAnsi="Garamond"/>
          <w:szCs w:val="22"/>
        </w:rPr>
      </w:pPr>
      <w:r w:rsidRPr="00AD239A">
        <w:rPr>
          <w:rFonts w:ascii="Garamond" w:hAnsi="Garamond"/>
          <w:szCs w:val="22"/>
        </w:rPr>
        <w:t>Ed Brunet and John Parry</w:t>
      </w:r>
      <w:r w:rsidR="009A21EC" w:rsidRPr="00AD239A">
        <w:rPr>
          <w:rFonts w:ascii="Garamond" w:hAnsi="Garamond"/>
          <w:szCs w:val="22"/>
        </w:rPr>
        <w:t xml:space="preserve"> argued that </w:t>
      </w:r>
      <w:r w:rsidR="009A21EC" w:rsidRPr="00AD239A">
        <w:rPr>
          <w:rFonts w:ascii="Garamond" w:hAnsi="Garamond"/>
          <w:i/>
          <w:szCs w:val="22"/>
        </w:rPr>
        <w:t>Tolan</w:t>
      </w:r>
      <w:r w:rsidR="009A21EC" w:rsidRPr="00AD239A">
        <w:rPr>
          <w:rFonts w:ascii="Garamond" w:hAnsi="Garamond"/>
          <w:szCs w:val="22"/>
        </w:rPr>
        <w:t xml:space="preserve"> marked the first time in many years that a civil rights plaintiff prevailed before the Supreme Court on summary judgment. It thus is tempting to see it as a major summary judgment decision</w:t>
      </w:r>
      <w:r w:rsidR="00BA3F1F" w:rsidRPr="00AD239A">
        <w:rPr>
          <w:rFonts w:ascii="Garamond" w:hAnsi="Garamond"/>
          <w:szCs w:val="22"/>
        </w:rPr>
        <w:t xml:space="preserve"> marking </w:t>
      </w:r>
      <w:r w:rsidR="00D41A6B" w:rsidRPr="00AD239A">
        <w:rPr>
          <w:rFonts w:ascii="Garamond" w:hAnsi="Garamond"/>
          <w:szCs w:val="22"/>
        </w:rPr>
        <w:t>at least a slight move</w:t>
      </w:r>
      <w:r w:rsidR="00BA3F1F" w:rsidRPr="00AD239A">
        <w:rPr>
          <w:rFonts w:ascii="Garamond" w:hAnsi="Garamond"/>
          <w:szCs w:val="22"/>
        </w:rPr>
        <w:t xml:space="preserve"> from the defense-centric approach to Rule 56</w:t>
      </w:r>
      <w:r w:rsidR="009A21EC" w:rsidRPr="00AD239A">
        <w:rPr>
          <w:rFonts w:ascii="Garamond" w:hAnsi="Garamond"/>
          <w:szCs w:val="22"/>
        </w:rPr>
        <w:t>.</w:t>
      </w:r>
      <w:r w:rsidR="005A3A3A" w:rsidRPr="00AD239A">
        <w:rPr>
          <w:rStyle w:val="FootnoteReference"/>
          <w:rFonts w:ascii="Garamond" w:hAnsi="Garamond"/>
          <w:szCs w:val="22"/>
        </w:rPr>
        <w:footnoteReference w:id="40"/>
      </w:r>
      <w:r w:rsidR="009A21EC" w:rsidRPr="00AD239A">
        <w:rPr>
          <w:rFonts w:ascii="Garamond" w:hAnsi="Garamond"/>
          <w:szCs w:val="22"/>
        </w:rPr>
        <w:t xml:space="preserve"> And the Court closed the opinion with a rousing paean to the benefits of trial and the limits of summary judgment:</w:t>
      </w:r>
    </w:p>
    <w:p w14:paraId="33C91874" w14:textId="77777777" w:rsidR="009A21EC" w:rsidRPr="00AD239A" w:rsidRDefault="009A21EC" w:rsidP="00556200">
      <w:pPr>
        <w:ind w:firstLine="360"/>
        <w:rPr>
          <w:rFonts w:ascii="Garamond" w:hAnsi="Garamond"/>
          <w:szCs w:val="22"/>
        </w:rPr>
      </w:pPr>
    </w:p>
    <w:p w14:paraId="75306808" w14:textId="384C60F7" w:rsidR="009A21EC" w:rsidRPr="00AD239A" w:rsidRDefault="009A21EC" w:rsidP="009A21EC">
      <w:pPr>
        <w:ind w:left="720" w:right="666"/>
        <w:rPr>
          <w:rFonts w:ascii="Garamond" w:eastAsia="Times New Roman" w:hAnsi="Garamond" w:cs="Times New Roman"/>
          <w:szCs w:val="22"/>
        </w:rPr>
      </w:pPr>
      <w:r w:rsidRPr="00AD239A">
        <w:rPr>
          <w:rFonts w:ascii="Garamond" w:eastAsia="Times New Roman" w:hAnsi="Garamond" w:cs="Times New Roman"/>
          <w:szCs w:val="22"/>
        </w:rPr>
        <w:t>The witnesses on both side</w:t>
      </w:r>
      <w:r w:rsidR="00BA3F1F" w:rsidRPr="00AD239A">
        <w:rPr>
          <w:rFonts w:ascii="Garamond" w:eastAsia="Times New Roman" w:hAnsi="Garamond" w:cs="Times New Roman"/>
          <w:szCs w:val="22"/>
        </w:rPr>
        <w:t xml:space="preserve">s come to this case with their </w:t>
      </w:r>
      <w:r w:rsidRPr="00AD239A">
        <w:rPr>
          <w:rFonts w:ascii="Garamond" w:eastAsia="Times New Roman" w:hAnsi="Garamond" w:cs="Times New Roman"/>
          <w:szCs w:val="22"/>
        </w:rPr>
        <w:t>own perceptions, recollections, and even potential biases. It is in part for that reason that genuine disputes are generally resolved by juries in our adversarial system. By weighing the evidence and reaching factual inferences contrary to Tolan’s competent evidence, the court below neglected to adhere to the fundamental principle that at the summary judgment stage, reasonable inferences should be drawn in favor of the nonmoving party.</w:t>
      </w:r>
      <w:r w:rsidR="00FF0C0B" w:rsidRPr="00AD239A">
        <w:rPr>
          <w:rStyle w:val="FootnoteReference"/>
          <w:rFonts w:ascii="Garamond" w:eastAsia="Times New Roman" w:hAnsi="Garamond" w:cs="Times New Roman"/>
          <w:szCs w:val="22"/>
        </w:rPr>
        <w:footnoteReference w:id="41"/>
      </w:r>
    </w:p>
    <w:p w14:paraId="60AC88E7" w14:textId="77777777" w:rsidR="009A21EC" w:rsidRPr="00AD239A" w:rsidRDefault="009A21EC" w:rsidP="00556200">
      <w:pPr>
        <w:ind w:firstLine="360"/>
        <w:rPr>
          <w:rFonts w:ascii="Garamond" w:eastAsia="Times New Roman" w:hAnsi="Garamond" w:cs="Times New Roman"/>
          <w:szCs w:val="22"/>
        </w:rPr>
      </w:pPr>
    </w:p>
    <w:p w14:paraId="560CF051" w14:textId="492F3ED1" w:rsidR="009A21EC" w:rsidRPr="00AD239A" w:rsidRDefault="00952596" w:rsidP="00556200">
      <w:pPr>
        <w:ind w:firstLine="360"/>
        <w:rPr>
          <w:rFonts w:ascii="Garamond" w:hAnsi="Garamond"/>
          <w:szCs w:val="22"/>
        </w:rPr>
      </w:pPr>
      <w:r w:rsidRPr="00AD239A">
        <w:rPr>
          <w:rFonts w:ascii="Garamond" w:hAnsi="Garamond"/>
          <w:szCs w:val="22"/>
        </w:rPr>
        <w:t>This is a strong statement, reminiscent of Justice Black’s criticism of “</w:t>
      </w:r>
      <w:r w:rsidR="00AD239A" w:rsidRPr="00AD239A">
        <w:rPr>
          <w:rFonts w:ascii="Garamond" w:eastAsia="Times New Roman" w:hAnsi="Garamond" w:cs="Times New Roman"/>
          <w:szCs w:val="22"/>
        </w:rPr>
        <w:t>trial by affidavit and the sterile bareness of summary judgment.”</w:t>
      </w:r>
      <w:r w:rsidR="00AD239A" w:rsidRPr="00AD239A">
        <w:rPr>
          <w:rStyle w:val="FootnoteReference"/>
          <w:rFonts w:ascii="Garamond" w:hAnsi="Garamond"/>
          <w:szCs w:val="22"/>
        </w:rPr>
        <w:t xml:space="preserve"> </w:t>
      </w:r>
      <w:r w:rsidR="00AD239A" w:rsidRPr="00AD239A">
        <w:rPr>
          <w:rStyle w:val="FootnoteReference"/>
          <w:rFonts w:ascii="Garamond" w:hAnsi="Garamond"/>
          <w:szCs w:val="22"/>
        </w:rPr>
        <w:footnoteReference w:id="42"/>
      </w:r>
      <w:r w:rsidR="00AD239A" w:rsidRPr="00AD239A">
        <w:rPr>
          <w:rFonts w:ascii="Garamond" w:hAnsi="Garamond"/>
          <w:szCs w:val="22"/>
        </w:rPr>
        <w:t xml:space="preserve">  </w:t>
      </w:r>
      <w:r w:rsidR="00713D6D" w:rsidRPr="00AD239A">
        <w:rPr>
          <w:rFonts w:ascii="Garamond" w:hAnsi="Garamond"/>
          <w:szCs w:val="22"/>
        </w:rPr>
        <w:t>But it is</w:t>
      </w:r>
      <w:r w:rsidR="009A21EC" w:rsidRPr="00AD239A">
        <w:rPr>
          <w:rFonts w:ascii="Garamond" w:hAnsi="Garamond"/>
          <w:szCs w:val="22"/>
        </w:rPr>
        <w:t xml:space="preserve"> somewhat in conflict with </w:t>
      </w:r>
      <w:r w:rsidR="009A21EC" w:rsidRPr="00AD239A">
        <w:rPr>
          <w:rFonts w:ascii="Garamond" w:hAnsi="Garamond"/>
          <w:i/>
          <w:szCs w:val="22"/>
        </w:rPr>
        <w:t>Scott</w:t>
      </w:r>
      <w:r w:rsidR="009A21EC" w:rsidRPr="00AD239A">
        <w:rPr>
          <w:rFonts w:ascii="Garamond" w:hAnsi="Garamond"/>
          <w:szCs w:val="22"/>
        </w:rPr>
        <w:t xml:space="preserve">, where the Court did not hesitate to weigh the video above all </w:t>
      </w:r>
      <w:r w:rsidR="00BA3F1F" w:rsidRPr="00AD239A">
        <w:rPr>
          <w:rFonts w:ascii="Garamond" w:hAnsi="Garamond"/>
          <w:szCs w:val="22"/>
        </w:rPr>
        <w:t>other evidence</w:t>
      </w:r>
      <w:r w:rsidR="004F5591" w:rsidRPr="00AD239A">
        <w:rPr>
          <w:rFonts w:ascii="Garamond" w:hAnsi="Garamond"/>
          <w:szCs w:val="22"/>
        </w:rPr>
        <w:t xml:space="preserve">, and </w:t>
      </w:r>
      <w:r w:rsidR="004F5591" w:rsidRPr="00AD239A">
        <w:rPr>
          <w:rFonts w:ascii="Garamond" w:hAnsi="Garamond"/>
          <w:i/>
          <w:szCs w:val="22"/>
        </w:rPr>
        <w:t>Plumhoff</w:t>
      </w:r>
      <w:r w:rsidR="004F5591" w:rsidRPr="00AD239A">
        <w:rPr>
          <w:rFonts w:ascii="Garamond" w:hAnsi="Garamond"/>
          <w:szCs w:val="22"/>
        </w:rPr>
        <w:t>, where the video was deemed sufficient on its own to warrant summary judgment</w:t>
      </w:r>
      <w:r w:rsidR="009A21EC" w:rsidRPr="00AD239A">
        <w:rPr>
          <w:rFonts w:ascii="Garamond" w:hAnsi="Garamond"/>
          <w:szCs w:val="22"/>
        </w:rPr>
        <w:t xml:space="preserve">. </w:t>
      </w:r>
      <w:r w:rsidR="00BA3F1F" w:rsidRPr="00AD239A">
        <w:rPr>
          <w:rFonts w:ascii="Garamond" w:hAnsi="Garamond"/>
          <w:szCs w:val="22"/>
        </w:rPr>
        <w:t>T</w:t>
      </w:r>
      <w:r w:rsidR="009A21EC" w:rsidRPr="00AD239A">
        <w:rPr>
          <w:rFonts w:ascii="Garamond" w:hAnsi="Garamond"/>
          <w:szCs w:val="22"/>
        </w:rPr>
        <w:t xml:space="preserve">here was no sense in </w:t>
      </w:r>
      <w:r w:rsidR="009A21EC" w:rsidRPr="00AD239A">
        <w:rPr>
          <w:rFonts w:ascii="Garamond" w:hAnsi="Garamond"/>
          <w:i/>
          <w:szCs w:val="22"/>
        </w:rPr>
        <w:t>Tolan</w:t>
      </w:r>
      <w:r w:rsidR="009A21EC" w:rsidRPr="00AD239A">
        <w:rPr>
          <w:rFonts w:ascii="Garamond" w:hAnsi="Garamond"/>
          <w:szCs w:val="22"/>
        </w:rPr>
        <w:t xml:space="preserve"> that the testimony of Tolan or his </w:t>
      </w:r>
      <w:r w:rsidR="00385656" w:rsidRPr="00AD239A">
        <w:rPr>
          <w:rFonts w:ascii="Garamond" w:hAnsi="Garamond"/>
          <w:szCs w:val="22"/>
        </w:rPr>
        <w:t>parents</w:t>
      </w:r>
      <w:r w:rsidR="009A21EC" w:rsidRPr="00AD239A">
        <w:rPr>
          <w:rFonts w:ascii="Garamond" w:hAnsi="Garamond"/>
          <w:szCs w:val="22"/>
        </w:rPr>
        <w:t xml:space="preserve"> </w:t>
      </w:r>
      <w:r w:rsidR="00497865" w:rsidRPr="00AD239A">
        <w:rPr>
          <w:rFonts w:ascii="Garamond" w:hAnsi="Garamond"/>
          <w:szCs w:val="22"/>
        </w:rPr>
        <w:t>ever could or should</w:t>
      </w:r>
      <w:r w:rsidR="009A21EC" w:rsidRPr="00AD239A">
        <w:rPr>
          <w:rFonts w:ascii="Garamond" w:hAnsi="Garamond"/>
          <w:szCs w:val="22"/>
        </w:rPr>
        <w:t xml:space="preserve"> be ignored because “contradicted” by any other evidence.</w:t>
      </w:r>
      <w:r w:rsidR="00DA4FB8" w:rsidRPr="00AD239A">
        <w:rPr>
          <w:rFonts w:ascii="Garamond" w:hAnsi="Garamond"/>
          <w:szCs w:val="22"/>
        </w:rPr>
        <w:t xml:space="preserve"> Inded, that seems to be the point</w:t>
      </w:r>
      <w:r w:rsidR="00FA7596" w:rsidRPr="00AD239A">
        <w:rPr>
          <w:rFonts w:ascii="Garamond" w:hAnsi="Garamond"/>
          <w:szCs w:val="22"/>
        </w:rPr>
        <w:t>--there</w:t>
      </w:r>
      <w:r w:rsidR="00385656" w:rsidRPr="00AD239A">
        <w:rPr>
          <w:rFonts w:ascii="Garamond" w:hAnsi="Garamond"/>
          <w:szCs w:val="22"/>
        </w:rPr>
        <w:t xml:space="preserve"> was a genuine dispute</w:t>
      </w:r>
      <w:r w:rsidR="00FA7596" w:rsidRPr="00AD239A">
        <w:rPr>
          <w:rFonts w:ascii="Garamond" w:hAnsi="Garamond"/>
          <w:szCs w:val="22"/>
        </w:rPr>
        <w:t xml:space="preserve"> of fact</w:t>
      </w:r>
      <w:r w:rsidR="00385656" w:rsidRPr="00AD239A">
        <w:rPr>
          <w:rFonts w:ascii="Garamond" w:hAnsi="Garamond"/>
          <w:szCs w:val="22"/>
        </w:rPr>
        <w:t xml:space="preserve"> precisely because the officer and the plaintiffs told conflicting stories.</w:t>
      </w:r>
      <w:r w:rsidR="009A21EC" w:rsidRPr="00AD239A">
        <w:rPr>
          <w:rFonts w:ascii="Garamond" w:hAnsi="Garamond"/>
          <w:szCs w:val="22"/>
        </w:rPr>
        <w:t xml:space="preserve"> Nor did the Court suggest that a dispute over a minor </w:t>
      </w:r>
      <w:r w:rsidR="00317137" w:rsidRPr="00AD239A">
        <w:rPr>
          <w:rFonts w:ascii="Garamond" w:hAnsi="Garamond"/>
          <w:szCs w:val="22"/>
        </w:rPr>
        <w:t xml:space="preserve">background </w:t>
      </w:r>
      <w:r w:rsidR="009A21EC" w:rsidRPr="00AD239A">
        <w:rPr>
          <w:rFonts w:ascii="Garamond" w:hAnsi="Garamond"/>
          <w:szCs w:val="22"/>
        </w:rPr>
        <w:t xml:space="preserve">inference (for example, the amount of illumination from the gas </w:t>
      </w:r>
      <w:r w:rsidR="00317137" w:rsidRPr="00AD239A">
        <w:rPr>
          <w:rFonts w:ascii="Garamond" w:hAnsi="Garamond"/>
          <w:szCs w:val="22"/>
        </w:rPr>
        <w:t xml:space="preserve">porch </w:t>
      </w:r>
      <w:r w:rsidR="009A21EC" w:rsidRPr="00AD239A">
        <w:rPr>
          <w:rFonts w:ascii="Garamond" w:hAnsi="Garamond"/>
          <w:szCs w:val="22"/>
        </w:rPr>
        <w:t>lamp) was not “material”</w:t>
      </w:r>
      <w:r w:rsidR="0092666D" w:rsidRPr="00AD239A">
        <w:rPr>
          <w:rFonts w:ascii="Garamond" w:hAnsi="Garamond"/>
          <w:szCs w:val="22"/>
        </w:rPr>
        <w:t xml:space="preserve"> or that it did not create more than a “metaphysical doubt” about the facts.</w:t>
      </w:r>
      <w:r w:rsidR="00901811" w:rsidRPr="00AD239A">
        <w:rPr>
          <w:rFonts w:ascii="Garamond" w:hAnsi="Garamond"/>
          <w:szCs w:val="22"/>
        </w:rPr>
        <w:t xml:space="preserve"> As Brunet and Parry argued, this </w:t>
      </w:r>
      <w:r w:rsidR="00925DD1" w:rsidRPr="00AD239A">
        <w:rPr>
          <w:rFonts w:ascii="Garamond" w:hAnsi="Garamond"/>
          <w:szCs w:val="22"/>
        </w:rPr>
        <w:t xml:space="preserve">statement might embolden lower courts to </w:t>
      </w:r>
      <w:r w:rsidR="00AC772B" w:rsidRPr="00AD239A">
        <w:rPr>
          <w:rFonts w:ascii="Garamond" w:hAnsi="Garamond"/>
          <w:szCs w:val="22"/>
        </w:rPr>
        <w:t xml:space="preserve">be more receptive to </w:t>
      </w:r>
      <w:r w:rsidR="00925DD1" w:rsidRPr="00AD239A">
        <w:rPr>
          <w:rFonts w:ascii="Garamond" w:hAnsi="Garamond"/>
          <w:szCs w:val="22"/>
        </w:rPr>
        <w:t>identify</w:t>
      </w:r>
      <w:r w:rsidR="00AC772B" w:rsidRPr="00AD239A">
        <w:rPr>
          <w:rFonts w:ascii="Garamond" w:hAnsi="Garamond"/>
          <w:szCs w:val="22"/>
        </w:rPr>
        <w:t>ing</w:t>
      </w:r>
      <w:r w:rsidR="00925DD1" w:rsidRPr="00AD239A">
        <w:rPr>
          <w:rFonts w:ascii="Garamond" w:hAnsi="Garamond"/>
          <w:szCs w:val="22"/>
        </w:rPr>
        <w:t xml:space="preserve"> fact disputes.</w:t>
      </w:r>
      <w:r w:rsidR="00497865" w:rsidRPr="00AD239A">
        <w:rPr>
          <w:rStyle w:val="FootnoteReference"/>
          <w:rFonts w:ascii="Garamond" w:hAnsi="Garamond"/>
          <w:szCs w:val="22"/>
        </w:rPr>
        <w:footnoteReference w:id="43"/>
      </w:r>
      <w:r w:rsidR="001F2D13" w:rsidRPr="00AD239A">
        <w:rPr>
          <w:rFonts w:ascii="Garamond" w:hAnsi="Garamond"/>
          <w:szCs w:val="22"/>
        </w:rPr>
        <w:t xml:space="preserve"> It also is telling that both </w:t>
      </w:r>
      <w:r w:rsidR="001F2D13" w:rsidRPr="00AD239A">
        <w:rPr>
          <w:rFonts w:ascii="Garamond" w:hAnsi="Garamond"/>
          <w:i/>
          <w:szCs w:val="22"/>
        </w:rPr>
        <w:t>Tolan</w:t>
      </w:r>
      <w:r w:rsidR="001F2D13" w:rsidRPr="00AD239A">
        <w:rPr>
          <w:rFonts w:ascii="Garamond" w:hAnsi="Garamond"/>
          <w:szCs w:val="22"/>
        </w:rPr>
        <w:t xml:space="preserve"> and </w:t>
      </w:r>
      <w:r w:rsidR="001F2D13" w:rsidRPr="00AD239A">
        <w:rPr>
          <w:rFonts w:ascii="Garamond" w:hAnsi="Garamond"/>
          <w:i/>
          <w:szCs w:val="22"/>
        </w:rPr>
        <w:t>Thomas</w:t>
      </w:r>
      <w:r w:rsidR="001F2D13" w:rsidRPr="00AD239A">
        <w:rPr>
          <w:rFonts w:ascii="Garamond" w:hAnsi="Garamond"/>
          <w:szCs w:val="22"/>
        </w:rPr>
        <w:t xml:space="preserve"> </w:t>
      </w:r>
      <w:r w:rsidR="00590453" w:rsidRPr="00AD239A">
        <w:rPr>
          <w:rFonts w:ascii="Garamond" w:hAnsi="Garamond"/>
          <w:szCs w:val="22"/>
        </w:rPr>
        <w:t xml:space="preserve">vacated decisions from the </w:t>
      </w:r>
      <w:r w:rsidR="001F2D13" w:rsidRPr="00AD239A">
        <w:rPr>
          <w:rFonts w:ascii="Garamond" w:hAnsi="Garamond"/>
          <w:szCs w:val="22"/>
        </w:rPr>
        <w:t>Fifth Circuit,</w:t>
      </w:r>
      <w:r w:rsidR="00F04A7E" w:rsidRPr="00AD239A">
        <w:rPr>
          <w:rFonts w:ascii="Garamond" w:hAnsi="Garamond"/>
          <w:szCs w:val="22"/>
        </w:rPr>
        <w:t xml:space="preserve"> which has earned a deserved reputation as being particularly hostile to § 1983 plaintiffs and particularly wi</w:t>
      </w:r>
      <w:r w:rsidR="00AA5C34" w:rsidRPr="00AD239A">
        <w:rPr>
          <w:rFonts w:ascii="Garamond" w:hAnsi="Garamond"/>
          <w:szCs w:val="22"/>
        </w:rPr>
        <w:t>lling to grant summary judgment against them</w:t>
      </w:r>
      <w:r w:rsidR="00373B59" w:rsidRPr="00AD239A">
        <w:rPr>
          <w:rFonts w:ascii="Garamond" w:hAnsi="Garamond"/>
          <w:szCs w:val="22"/>
        </w:rPr>
        <w:t>.</w:t>
      </w:r>
    </w:p>
    <w:p w14:paraId="46181385" w14:textId="26DC018D" w:rsidR="00854654" w:rsidRPr="00AD239A" w:rsidRDefault="00854654" w:rsidP="00556200">
      <w:pPr>
        <w:ind w:firstLine="360"/>
        <w:rPr>
          <w:rFonts w:ascii="Garamond" w:hAnsi="Garamond"/>
          <w:szCs w:val="22"/>
        </w:rPr>
      </w:pPr>
      <w:r w:rsidRPr="00AD239A">
        <w:rPr>
          <w:rFonts w:ascii="Garamond" w:hAnsi="Garamond"/>
          <w:szCs w:val="22"/>
        </w:rPr>
        <w:t xml:space="preserve">The </w:t>
      </w:r>
      <w:r w:rsidR="00D031A5" w:rsidRPr="00AD239A">
        <w:rPr>
          <w:rFonts w:ascii="Garamond" w:hAnsi="Garamond"/>
          <w:szCs w:val="22"/>
        </w:rPr>
        <w:t>problem</w:t>
      </w:r>
      <w:r w:rsidRPr="00AD239A">
        <w:rPr>
          <w:rFonts w:ascii="Garamond" w:hAnsi="Garamond"/>
          <w:szCs w:val="22"/>
        </w:rPr>
        <w:t xml:space="preserve"> on the other side, particularly </w:t>
      </w:r>
      <w:r w:rsidR="009911FA" w:rsidRPr="00AD239A">
        <w:rPr>
          <w:rFonts w:ascii="Garamond" w:hAnsi="Garamond"/>
          <w:szCs w:val="22"/>
        </w:rPr>
        <w:t xml:space="preserve">for </w:t>
      </w:r>
      <w:r w:rsidRPr="00AD239A">
        <w:rPr>
          <w:rFonts w:ascii="Garamond" w:hAnsi="Garamond"/>
          <w:i/>
          <w:szCs w:val="22"/>
        </w:rPr>
        <w:t>Tolan</w:t>
      </w:r>
      <w:r w:rsidRPr="00AD239A">
        <w:rPr>
          <w:rFonts w:ascii="Garamond" w:hAnsi="Garamond"/>
          <w:szCs w:val="22"/>
        </w:rPr>
        <w:t xml:space="preserve">, is why the Supreme Court handled the case as it did and the effect of those </w:t>
      </w:r>
      <w:r w:rsidR="000875E4" w:rsidRPr="00AD239A">
        <w:rPr>
          <w:rFonts w:ascii="Garamond" w:hAnsi="Garamond"/>
          <w:szCs w:val="22"/>
        </w:rPr>
        <w:t xml:space="preserve">procedural </w:t>
      </w:r>
      <w:r w:rsidRPr="00AD239A">
        <w:rPr>
          <w:rFonts w:ascii="Garamond" w:hAnsi="Garamond"/>
          <w:szCs w:val="22"/>
        </w:rPr>
        <w:t>choices on its precedential force.</w:t>
      </w:r>
      <w:r w:rsidR="00D031A5" w:rsidRPr="00AD239A">
        <w:rPr>
          <w:rFonts w:ascii="Garamond" w:hAnsi="Garamond"/>
          <w:szCs w:val="22"/>
        </w:rPr>
        <w:t xml:space="preserve"> The</w:t>
      </w:r>
      <w:r w:rsidR="0062729B" w:rsidRPr="00AD239A">
        <w:rPr>
          <w:rFonts w:ascii="Garamond" w:hAnsi="Garamond"/>
          <w:szCs w:val="22"/>
        </w:rPr>
        <w:t xml:space="preserve"> </w:t>
      </w:r>
      <w:r w:rsidR="0062729B" w:rsidRPr="00AD239A">
        <w:rPr>
          <w:rFonts w:ascii="Garamond" w:hAnsi="Garamond"/>
          <w:i/>
          <w:szCs w:val="22"/>
        </w:rPr>
        <w:t>Tolan</w:t>
      </w:r>
      <w:r w:rsidR="00D031A5" w:rsidRPr="00AD239A">
        <w:rPr>
          <w:rFonts w:ascii="Garamond" w:hAnsi="Garamond"/>
          <w:szCs w:val="22"/>
        </w:rPr>
        <w:t xml:space="preserve"> Court granted cert, vacated, and remanded all in one opinion and order, based only on the cert briefing</w:t>
      </w:r>
      <w:r w:rsidR="00B15B10" w:rsidRPr="00AD239A">
        <w:rPr>
          <w:rFonts w:ascii="Garamond" w:hAnsi="Garamond"/>
          <w:szCs w:val="22"/>
        </w:rPr>
        <w:t>, without merits briefing, argument, or plenary consideration</w:t>
      </w:r>
      <w:r w:rsidR="00D031A5" w:rsidRPr="00AD239A">
        <w:rPr>
          <w:rFonts w:ascii="Garamond" w:hAnsi="Garamond"/>
          <w:szCs w:val="22"/>
        </w:rPr>
        <w:t>.</w:t>
      </w:r>
    </w:p>
    <w:p w14:paraId="66740D8D" w14:textId="2807A174" w:rsidR="00D031A5" w:rsidRPr="00AD239A" w:rsidRDefault="00D031A5" w:rsidP="00556200">
      <w:pPr>
        <w:ind w:firstLine="360"/>
        <w:rPr>
          <w:rFonts w:ascii="Garamond" w:hAnsi="Garamond"/>
          <w:szCs w:val="22"/>
        </w:rPr>
      </w:pPr>
      <w:r w:rsidRPr="00AD239A">
        <w:rPr>
          <w:rFonts w:ascii="Garamond" w:hAnsi="Garamond"/>
          <w:szCs w:val="22"/>
        </w:rPr>
        <w:t xml:space="preserve">The best explanation is that </w:t>
      </w:r>
      <w:r w:rsidR="00653BDF" w:rsidRPr="00AD239A">
        <w:rPr>
          <w:rFonts w:ascii="Garamond" w:hAnsi="Garamond"/>
          <w:i/>
          <w:szCs w:val="22"/>
        </w:rPr>
        <w:t>Tolan</w:t>
      </w:r>
      <w:r w:rsidR="00653BDF" w:rsidRPr="00AD239A">
        <w:rPr>
          <w:rFonts w:ascii="Garamond" w:hAnsi="Garamond"/>
          <w:szCs w:val="22"/>
        </w:rPr>
        <w:t xml:space="preserve"> was a</w:t>
      </w:r>
      <w:r w:rsidRPr="00AD239A">
        <w:rPr>
          <w:rFonts w:ascii="Garamond" w:hAnsi="Garamond"/>
          <w:szCs w:val="22"/>
        </w:rPr>
        <w:t xml:space="preserve"> simple case involving established precedent and a circuit court opinion that simply misapplied that precedent in a decision reflecting a “clear misapprehension of summary judgment standards in light of our precedents.”</w:t>
      </w:r>
      <w:r w:rsidR="00041C95" w:rsidRPr="00AD239A">
        <w:rPr>
          <w:rStyle w:val="FootnoteReference"/>
          <w:rFonts w:ascii="Garamond" w:hAnsi="Garamond"/>
          <w:szCs w:val="22"/>
        </w:rPr>
        <w:footnoteReference w:id="44"/>
      </w:r>
      <w:r w:rsidRPr="00AD239A">
        <w:rPr>
          <w:rFonts w:ascii="Garamond" w:hAnsi="Garamond"/>
          <w:szCs w:val="22"/>
        </w:rPr>
        <w:t xml:space="preserve"> The case did not require discussion or elaboration of established legal principles, so </w:t>
      </w:r>
      <w:r w:rsidR="00DD7489" w:rsidRPr="00AD239A">
        <w:rPr>
          <w:rFonts w:ascii="Garamond" w:hAnsi="Garamond"/>
          <w:szCs w:val="22"/>
        </w:rPr>
        <w:t>plenary consideration was</w:t>
      </w:r>
      <w:r w:rsidRPr="00AD239A">
        <w:rPr>
          <w:rFonts w:ascii="Garamond" w:hAnsi="Garamond"/>
          <w:szCs w:val="22"/>
        </w:rPr>
        <w:t xml:space="preserve"> unnecessary. </w:t>
      </w:r>
      <w:r w:rsidRPr="00AD239A">
        <w:rPr>
          <w:rFonts w:ascii="Garamond" w:hAnsi="Garamond"/>
          <w:i/>
          <w:szCs w:val="22"/>
        </w:rPr>
        <w:t>Tolan</w:t>
      </w:r>
      <w:r w:rsidRPr="00AD239A">
        <w:rPr>
          <w:rFonts w:ascii="Garamond" w:hAnsi="Garamond"/>
          <w:szCs w:val="22"/>
        </w:rPr>
        <w:t xml:space="preserve"> thus best performs a signaling function--the law is already clear that courts on summary judgment cannot resolve factual disputes in defining the specific context of </w:t>
      </w:r>
      <w:r w:rsidR="00C11A33" w:rsidRPr="00AD239A">
        <w:rPr>
          <w:rFonts w:ascii="Garamond" w:hAnsi="Garamond"/>
          <w:szCs w:val="22"/>
        </w:rPr>
        <w:t xml:space="preserve">a right for the second prong of the qualified immunity analysis. </w:t>
      </w:r>
      <w:r w:rsidR="00470078" w:rsidRPr="00AD239A">
        <w:rPr>
          <w:rFonts w:ascii="Garamond" w:hAnsi="Garamond"/>
          <w:szCs w:val="22"/>
        </w:rPr>
        <w:t>The</w:t>
      </w:r>
      <w:r w:rsidR="00C11A33" w:rsidRPr="00AD239A">
        <w:rPr>
          <w:rFonts w:ascii="Garamond" w:hAnsi="Garamond"/>
          <w:szCs w:val="22"/>
        </w:rPr>
        <w:t xml:space="preserve"> subsequent GVR in </w:t>
      </w:r>
      <w:r w:rsidR="00C11A33" w:rsidRPr="00AD239A">
        <w:rPr>
          <w:rFonts w:ascii="Garamond" w:hAnsi="Garamond"/>
          <w:i/>
          <w:szCs w:val="22"/>
        </w:rPr>
        <w:t>Thomas</w:t>
      </w:r>
      <w:r w:rsidR="00D90EAC" w:rsidRPr="00AD239A">
        <w:rPr>
          <w:rFonts w:ascii="Garamond" w:hAnsi="Garamond"/>
          <w:szCs w:val="22"/>
        </w:rPr>
        <w:t xml:space="preserve"> puts a fine p</w:t>
      </w:r>
      <w:r w:rsidR="00041C95" w:rsidRPr="00AD239A">
        <w:rPr>
          <w:rFonts w:ascii="Garamond" w:hAnsi="Garamond"/>
          <w:szCs w:val="22"/>
        </w:rPr>
        <w:t>oint on this; the Court presumed</w:t>
      </w:r>
      <w:r w:rsidR="00D90EAC" w:rsidRPr="00AD239A">
        <w:rPr>
          <w:rFonts w:ascii="Garamond" w:hAnsi="Garamond"/>
          <w:szCs w:val="22"/>
        </w:rPr>
        <w:t xml:space="preserve"> that the Fifth Circuit made the same error it did in </w:t>
      </w:r>
      <w:r w:rsidR="00D90EAC" w:rsidRPr="00AD239A">
        <w:rPr>
          <w:rFonts w:ascii="Garamond" w:hAnsi="Garamond"/>
          <w:i/>
          <w:szCs w:val="22"/>
        </w:rPr>
        <w:t>Tolan</w:t>
      </w:r>
      <w:r w:rsidR="00696B07" w:rsidRPr="00AD239A">
        <w:rPr>
          <w:rFonts w:ascii="Garamond" w:hAnsi="Garamond"/>
          <w:szCs w:val="22"/>
        </w:rPr>
        <w:t xml:space="preserve">, so </w:t>
      </w:r>
      <w:r w:rsidR="00D90EAC" w:rsidRPr="00AD239A">
        <w:rPr>
          <w:rFonts w:ascii="Garamond" w:hAnsi="Garamond"/>
          <w:szCs w:val="22"/>
        </w:rPr>
        <w:t>immediately sen</w:t>
      </w:r>
      <w:r w:rsidR="00696B07" w:rsidRPr="00AD239A">
        <w:rPr>
          <w:rFonts w:ascii="Garamond" w:hAnsi="Garamond"/>
          <w:szCs w:val="22"/>
        </w:rPr>
        <w:t>t</w:t>
      </w:r>
      <w:r w:rsidR="00D90EAC" w:rsidRPr="00AD239A">
        <w:rPr>
          <w:rFonts w:ascii="Garamond" w:hAnsi="Garamond"/>
          <w:szCs w:val="22"/>
        </w:rPr>
        <w:t xml:space="preserve"> the case back to have another look</w:t>
      </w:r>
      <w:r w:rsidR="009A25C9" w:rsidRPr="00AD239A">
        <w:rPr>
          <w:rFonts w:ascii="Garamond" w:hAnsi="Garamond"/>
          <w:szCs w:val="22"/>
        </w:rPr>
        <w:t>, without even taking the time to do it itself</w:t>
      </w:r>
      <w:r w:rsidR="00D90EAC" w:rsidRPr="00AD239A">
        <w:rPr>
          <w:rFonts w:ascii="Garamond" w:hAnsi="Garamond"/>
          <w:szCs w:val="22"/>
        </w:rPr>
        <w:t>.</w:t>
      </w:r>
      <w:r w:rsidR="00D90EAC" w:rsidRPr="00AD239A">
        <w:rPr>
          <w:rStyle w:val="FootnoteReference"/>
          <w:rFonts w:ascii="Garamond" w:hAnsi="Garamond"/>
          <w:szCs w:val="22"/>
        </w:rPr>
        <w:footnoteReference w:id="45"/>
      </w:r>
      <w:r w:rsidR="00470078" w:rsidRPr="00AD239A">
        <w:rPr>
          <w:rFonts w:ascii="Garamond" w:hAnsi="Garamond"/>
          <w:szCs w:val="22"/>
        </w:rPr>
        <w:t xml:space="preserve"> And other circuits could be next, so they should proceed with caution.</w:t>
      </w:r>
    </w:p>
    <w:p w14:paraId="32458E7A" w14:textId="1DD6761C" w:rsidR="00470078" w:rsidRPr="00AD239A" w:rsidRDefault="00470078" w:rsidP="00556200">
      <w:pPr>
        <w:ind w:firstLine="360"/>
        <w:rPr>
          <w:rFonts w:ascii="Garamond" w:hAnsi="Garamond"/>
          <w:szCs w:val="22"/>
        </w:rPr>
      </w:pPr>
      <w:r w:rsidRPr="00AD239A">
        <w:rPr>
          <w:rFonts w:ascii="Garamond" w:hAnsi="Garamond"/>
          <w:szCs w:val="22"/>
        </w:rPr>
        <w:t xml:space="preserve">But that explanation creates several problems. First, it opens the door to the criticism in the separate opinion by Justice Alito, joined by Justice Scalia, concurring in the judgment in </w:t>
      </w:r>
      <w:r w:rsidRPr="00AD239A">
        <w:rPr>
          <w:rFonts w:ascii="Garamond" w:hAnsi="Garamond"/>
          <w:i/>
          <w:szCs w:val="22"/>
        </w:rPr>
        <w:t>Tolan</w:t>
      </w:r>
      <w:r w:rsidRPr="00AD239A">
        <w:rPr>
          <w:rFonts w:ascii="Garamond" w:hAnsi="Garamond"/>
          <w:szCs w:val="22"/>
        </w:rPr>
        <w:t>. Alito argued that th</w:t>
      </w:r>
      <w:r w:rsidR="00AE358C" w:rsidRPr="00AD239A">
        <w:rPr>
          <w:rFonts w:ascii="Garamond" w:hAnsi="Garamond"/>
          <w:szCs w:val="22"/>
        </w:rPr>
        <w:t>is</w:t>
      </w:r>
      <w:r w:rsidRPr="00AD239A">
        <w:rPr>
          <w:rFonts w:ascii="Garamond" w:hAnsi="Garamond"/>
          <w:szCs w:val="22"/>
        </w:rPr>
        <w:t xml:space="preserve"> case involved little more than the routine</w:t>
      </w:r>
      <w:r w:rsidR="00896C3F" w:rsidRPr="00AD239A">
        <w:rPr>
          <w:rFonts w:ascii="Garamond" w:hAnsi="Garamond"/>
          <w:szCs w:val="22"/>
        </w:rPr>
        <w:t xml:space="preserve"> consideration of the sufficiency</w:t>
      </w:r>
      <w:r w:rsidRPr="00AD239A">
        <w:rPr>
          <w:rFonts w:ascii="Garamond" w:hAnsi="Garamond"/>
          <w:szCs w:val="22"/>
        </w:rPr>
        <w:t xml:space="preserve"> of evidence in the summary judgment record, not an appropriate issue for Supreme Court review, even summary review.</w:t>
      </w:r>
      <w:r w:rsidRPr="00AD239A">
        <w:rPr>
          <w:rStyle w:val="FootnoteReference"/>
          <w:rFonts w:ascii="Garamond" w:hAnsi="Garamond"/>
          <w:szCs w:val="22"/>
        </w:rPr>
        <w:footnoteReference w:id="46"/>
      </w:r>
      <w:r w:rsidRPr="00AD239A">
        <w:rPr>
          <w:rFonts w:ascii="Garamond" w:hAnsi="Garamond"/>
          <w:szCs w:val="22"/>
        </w:rPr>
        <w:t xml:space="preserve"> The nine relistings</w:t>
      </w:r>
      <w:r w:rsidR="0060218E" w:rsidRPr="00AD239A">
        <w:rPr>
          <w:rFonts w:ascii="Garamond" w:hAnsi="Garamond"/>
          <w:szCs w:val="22"/>
        </w:rPr>
        <w:t xml:space="preserve"> likely were the result of the justices wrangling </w:t>
      </w:r>
      <w:r w:rsidR="00D16C03" w:rsidRPr="00AD239A">
        <w:rPr>
          <w:rFonts w:ascii="Garamond" w:hAnsi="Garamond"/>
          <w:szCs w:val="22"/>
        </w:rPr>
        <w:t>over how to handle the case and the result--grant, vacate, and reverse, with a short per curiam opinion--likely reflects the best available compromise.</w:t>
      </w:r>
    </w:p>
    <w:p w14:paraId="18AA109F" w14:textId="2C9D0D1A" w:rsidR="00470078" w:rsidRPr="00AD239A" w:rsidRDefault="00470078" w:rsidP="00517AAB">
      <w:pPr>
        <w:ind w:firstLine="360"/>
        <w:rPr>
          <w:rFonts w:ascii="Garamond" w:hAnsi="Garamond"/>
          <w:szCs w:val="22"/>
        </w:rPr>
      </w:pPr>
      <w:r w:rsidRPr="00AD239A">
        <w:rPr>
          <w:rFonts w:ascii="Garamond" w:hAnsi="Garamond"/>
          <w:szCs w:val="22"/>
        </w:rPr>
        <w:t xml:space="preserve">Second, it dampens the force of this first significant summary judgment victory for a civil rights plaintiff. </w:t>
      </w:r>
      <w:r w:rsidR="00A66974" w:rsidRPr="00AD239A">
        <w:rPr>
          <w:rFonts w:ascii="Garamond" w:hAnsi="Garamond"/>
          <w:szCs w:val="22"/>
        </w:rPr>
        <w:t xml:space="preserve">The Court has at least suggested that </w:t>
      </w:r>
      <w:r w:rsidR="001F2FFB" w:rsidRPr="00AD239A">
        <w:rPr>
          <w:rFonts w:ascii="Garamond" w:hAnsi="Garamond"/>
          <w:szCs w:val="22"/>
        </w:rPr>
        <w:t xml:space="preserve">per curiam </w:t>
      </w:r>
      <w:r w:rsidR="00A66974" w:rsidRPr="00AD239A">
        <w:rPr>
          <w:rFonts w:ascii="Garamond" w:hAnsi="Garamond"/>
          <w:szCs w:val="22"/>
        </w:rPr>
        <w:t>summary di</w:t>
      </w:r>
      <w:r w:rsidR="00517AAB" w:rsidRPr="00AD239A">
        <w:rPr>
          <w:rFonts w:ascii="Garamond" w:hAnsi="Garamond"/>
          <w:szCs w:val="22"/>
        </w:rPr>
        <w:t>s</w:t>
      </w:r>
      <w:r w:rsidR="00A66974" w:rsidRPr="00AD239A">
        <w:rPr>
          <w:rFonts w:ascii="Garamond" w:hAnsi="Garamond"/>
          <w:szCs w:val="22"/>
        </w:rPr>
        <w:t xml:space="preserve">positions </w:t>
      </w:r>
      <w:r w:rsidR="00517AAB" w:rsidRPr="00AD239A">
        <w:rPr>
          <w:rFonts w:ascii="Garamond" w:hAnsi="Garamond"/>
          <w:szCs w:val="22"/>
        </w:rPr>
        <w:t xml:space="preserve">are of more </w:t>
      </w:r>
      <w:r w:rsidR="00A66974" w:rsidRPr="00AD239A">
        <w:rPr>
          <w:rFonts w:ascii="Garamond" w:hAnsi="Garamond"/>
          <w:szCs w:val="22"/>
        </w:rPr>
        <w:t>limited precedential force</w:t>
      </w:r>
      <w:r w:rsidR="00FC36CF" w:rsidRPr="00AD239A">
        <w:rPr>
          <w:rFonts w:ascii="Garamond" w:hAnsi="Garamond"/>
          <w:szCs w:val="22"/>
        </w:rPr>
        <w:t xml:space="preserve">, compared with </w:t>
      </w:r>
      <w:r w:rsidR="00A66974" w:rsidRPr="00AD239A">
        <w:rPr>
          <w:rFonts w:ascii="Garamond" w:hAnsi="Garamond"/>
          <w:szCs w:val="22"/>
        </w:rPr>
        <w:t>the Court decid</w:t>
      </w:r>
      <w:r w:rsidR="00FC36CF" w:rsidRPr="00AD239A">
        <w:rPr>
          <w:rFonts w:ascii="Garamond" w:hAnsi="Garamond"/>
          <w:szCs w:val="22"/>
        </w:rPr>
        <w:t>ing</w:t>
      </w:r>
      <w:r w:rsidR="000A6757" w:rsidRPr="00AD239A">
        <w:rPr>
          <w:rFonts w:ascii="Garamond" w:hAnsi="Garamond"/>
          <w:szCs w:val="22"/>
        </w:rPr>
        <w:t xml:space="preserve"> </w:t>
      </w:r>
      <w:r w:rsidR="00A66974" w:rsidRPr="00AD239A">
        <w:rPr>
          <w:rFonts w:ascii="Garamond" w:hAnsi="Garamond"/>
          <w:szCs w:val="22"/>
        </w:rPr>
        <w:t xml:space="preserve">the case </w:t>
      </w:r>
      <w:r w:rsidR="00F744F6" w:rsidRPr="00AD239A">
        <w:rPr>
          <w:rFonts w:ascii="Garamond" w:hAnsi="Garamond"/>
          <w:szCs w:val="22"/>
        </w:rPr>
        <w:t xml:space="preserve">on the merits </w:t>
      </w:r>
      <w:r w:rsidR="000A6757" w:rsidRPr="00AD239A">
        <w:rPr>
          <w:rFonts w:ascii="Garamond" w:hAnsi="Garamond"/>
          <w:szCs w:val="22"/>
        </w:rPr>
        <w:t xml:space="preserve">after full briefing and </w:t>
      </w:r>
      <w:r w:rsidR="00A66974" w:rsidRPr="00AD239A">
        <w:rPr>
          <w:rFonts w:ascii="Garamond" w:hAnsi="Garamond"/>
          <w:szCs w:val="22"/>
        </w:rPr>
        <w:t>oral argument.</w:t>
      </w:r>
      <w:r w:rsidR="00A66974" w:rsidRPr="00AD239A">
        <w:rPr>
          <w:rStyle w:val="FootnoteReference"/>
          <w:rFonts w:ascii="Garamond" w:hAnsi="Garamond"/>
          <w:szCs w:val="22"/>
        </w:rPr>
        <w:footnoteReference w:id="47"/>
      </w:r>
      <w:r w:rsidR="00781AA0" w:rsidRPr="00AD239A">
        <w:rPr>
          <w:rFonts w:ascii="Garamond" w:hAnsi="Garamond"/>
          <w:szCs w:val="22"/>
        </w:rPr>
        <w:t xml:space="preserve"> And while some per curiam</w:t>
      </w:r>
      <w:r w:rsidR="00517AAB" w:rsidRPr="00AD239A">
        <w:rPr>
          <w:rFonts w:ascii="Garamond" w:hAnsi="Garamond"/>
          <w:szCs w:val="22"/>
        </w:rPr>
        <w:t xml:space="preserve"> </w:t>
      </w:r>
      <w:r w:rsidR="00781AA0" w:rsidRPr="00AD239A">
        <w:rPr>
          <w:rFonts w:ascii="Garamond" w:hAnsi="Garamond"/>
          <w:szCs w:val="22"/>
        </w:rPr>
        <w:t xml:space="preserve">opinions </w:t>
      </w:r>
      <w:r w:rsidR="00B269BD" w:rsidRPr="00AD239A">
        <w:rPr>
          <w:rFonts w:ascii="Garamond" w:hAnsi="Garamond"/>
          <w:szCs w:val="22"/>
        </w:rPr>
        <w:t>have become significant precedents</w:t>
      </w:r>
      <w:r w:rsidR="00781AA0" w:rsidRPr="00AD239A">
        <w:rPr>
          <w:rFonts w:ascii="Garamond" w:hAnsi="Garamond"/>
          <w:szCs w:val="22"/>
        </w:rPr>
        <w:t>,</w:t>
      </w:r>
      <w:r w:rsidR="00544854" w:rsidRPr="00AD239A">
        <w:rPr>
          <w:rStyle w:val="FootnoteReference"/>
          <w:rFonts w:ascii="Garamond" w:hAnsi="Garamond"/>
          <w:szCs w:val="22"/>
        </w:rPr>
        <w:footnoteReference w:id="48"/>
      </w:r>
      <w:r w:rsidR="00781AA0" w:rsidRPr="00AD239A">
        <w:rPr>
          <w:rFonts w:ascii="Garamond" w:hAnsi="Garamond"/>
          <w:szCs w:val="22"/>
        </w:rPr>
        <w:t xml:space="preserve"> they tend to carry less authority than signed opinions. </w:t>
      </w:r>
      <w:r w:rsidR="0060218E" w:rsidRPr="00AD239A">
        <w:rPr>
          <w:rFonts w:ascii="Garamond" w:hAnsi="Garamond"/>
          <w:szCs w:val="22"/>
        </w:rPr>
        <w:t xml:space="preserve">Civil rights plaintiffs facing a qualified immunity defense </w:t>
      </w:r>
      <w:r w:rsidR="00240CA5" w:rsidRPr="00AD239A">
        <w:rPr>
          <w:rFonts w:ascii="Garamond" w:hAnsi="Garamond"/>
          <w:szCs w:val="22"/>
        </w:rPr>
        <w:t xml:space="preserve">can </w:t>
      </w:r>
      <w:r w:rsidR="0060218E" w:rsidRPr="00AD239A">
        <w:rPr>
          <w:rFonts w:ascii="Garamond" w:hAnsi="Garamond"/>
          <w:szCs w:val="22"/>
        </w:rPr>
        <w:t xml:space="preserve">point to </w:t>
      </w:r>
      <w:r w:rsidR="0060218E" w:rsidRPr="00AD239A">
        <w:rPr>
          <w:rFonts w:ascii="Garamond" w:hAnsi="Garamond"/>
          <w:i/>
          <w:szCs w:val="22"/>
        </w:rPr>
        <w:t>Tolan</w:t>
      </w:r>
      <w:r w:rsidR="0060218E" w:rsidRPr="00AD239A">
        <w:rPr>
          <w:rFonts w:ascii="Garamond" w:hAnsi="Garamond"/>
          <w:szCs w:val="22"/>
        </w:rPr>
        <w:t xml:space="preserve"> in urging lower courts to be cautious about finding facts </w:t>
      </w:r>
      <w:r w:rsidR="00004B0E" w:rsidRPr="00AD239A">
        <w:rPr>
          <w:rFonts w:ascii="Garamond" w:hAnsi="Garamond"/>
          <w:szCs w:val="22"/>
        </w:rPr>
        <w:t xml:space="preserve">or resolving conflicting evidence </w:t>
      </w:r>
      <w:r w:rsidR="0060218E" w:rsidRPr="00AD239A">
        <w:rPr>
          <w:rFonts w:ascii="Garamond" w:hAnsi="Garamond"/>
          <w:szCs w:val="22"/>
        </w:rPr>
        <w:t>on summary judgment, especially on the second prong of the analysis.</w:t>
      </w:r>
      <w:r w:rsidR="00925DD1" w:rsidRPr="00AD239A">
        <w:rPr>
          <w:rFonts w:ascii="Garamond" w:hAnsi="Garamond"/>
          <w:szCs w:val="22"/>
        </w:rPr>
        <w:t xml:space="preserve"> </w:t>
      </w:r>
      <w:r w:rsidR="00F74F59" w:rsidRPr="00AD239A">
        <w:rPr>
          <w:rFonts w:ascii="Garamond" w:hAnsi="Garamond"/>
          <w:szCs w:val="22"/>
        </w:rPr>
        <w:t>That</w:t>
      </w:r>
      <w:r w:rsidR="00925DD1" w:rsidRPr="00AD239A">
        <w:rPr>
          <w:rFonts w:ascii="Garamond" w:hAnsi="Garamond"/>
          <w:szCs w:val="22"/>
        </w:rPr>
        <w:t xml:space="preserve"> the Court took the time to identify the Fifth Circuit’s errors and </w:t>
      </w:r>
      <w:r w:rsidR="00D73997" w:rsidRPr="00AD239A">
        <w:rPr>
          <w:rFonts w:ascii="Garamond" w:hAnsi="Garamond"/>
          <w:szCs w:val="22"/>
        </w:rPr>
        <w:t>the</w:t>
      </w:r>
      <w:r w:rsidR="00925DD1" w:rsidRPr="00AD239A">
        <w:rPr>
          <w:rFonts w:ascii="Garamond" w:hAnsi="Garamond"/>
          <w:szCs w:val="22"/>
        </w:rPr>
        <w:t xml:space="preserve"> obvious disputed facts</w:t>
      </w:r>
      <w:r w:rsidR="00D73997" w:rsidRPr="00AD239A">
        <w:rPr>
          <w:rFonts w:ascii="Garamond" w:hAnsi="Garamond"/>
          <w:szCs w:val="22"/>
        </w:rPr>
        <w:t xml:space="preserve"> and evidence</w:t>
      </w:r>
      <w:r w:rsidR="00925DD1" w:rsidRPr="00AD239A">
        <w:rPr>
          <w:rFonts w:ascii="Garamond" w:hAnsi="Garamond"/>
          <w:szCs w:val="22"/>
        </w:rPr>
        <w:t>, rather than summarily vacating and remanding, might suggest a shift in</w:t>
      </w:r>
      <w:r w:rsidR="00781AA0" w:rsidRPr="00AD239A">
        <w:rPr>
          <w:rFonts w:ascii="Garamond" w:hAnsi="Garamond"/>
          <w:szCs w:val="22"/>
        </w:rPr>
        <w:t xml:space="preserve"> </w:t>
      </w:r>
      <w:r w:rsidR="00805B98" w:rsidRPr="00AD239A">
        <w:rPr>
          <w:rFonts w:ascii="Garamond" w:hAnsi="Garamond"/>
          <w:szCs w:val="22"/>
        </w:rPr>
        <w:t>t</w:t>
      </w:r>
      <w:r w:rsidR="00781AA0" w:rsidRPr="00AD239A">
        <w:rPr>
          <w:rFonts w:ascii="Garamond" w:hAnsi="Garamond"/>
          <w:szCs w:val="22"/>
        </w:rPr>
        <w:t>he Court’s</w:t>
      </w:r>
      <w:r w:rsidR="00925DD1" w:rsidRPr="00AD239A">
        <w:rPr>
          <w:rFonts w:ascii="Garamond" w:hAnsi="Garamond"/>
          <w:szCs w:val="22"/>
        </w:rPr>
        <w:t xml:space="preserve"> </w:t>
      </w:r>
      <w:r w:rsidR="00F37F98" w:rsidRPr="00AD239A">
        <w:rPr>
          <w:rFonts w:ascii="Garamond" w:hAnsi="Garamond"/>
          <w:szCs w:val="22"/>
        </w:rPr>
        <w:t>attitude towards summary judgment</w:t>
      </w:r>
      <w:r w:rsidR="00925DD1" w:rsidRPr="00AD239A">
        <w:rPr>
          <w:rFonts w:ascii="Garamond" w:hAnsi="Garamond"/>
          <w:szCs w:val="22"/>
        </w:rPr>
        <w:t>.</w:t>
      </w:r>
      <w:r w:rsidR="0060218E" w:rsidRPr="00AD239A">
        <w:rPr>
          <w:rFonts w:ascii="Garamond" w:hAnsi="Garamond"/>
          <w:szCs w:val="22"/>
        </w:rPr>
        <w:t xml:space="preserve"> </w:t>
      </w:r>
      <w:r w:rsidR="005C1348" w:rsidRPr="00AD239A">
        <w:rPr>
          <w:rFonts w:ascii="Garamond" w:hAnsi="Garamond"/>
          <w:szCs w:val="22"/>
        </w:rPr>
        <w:t>Particularly given the extreme facts, the</w:t>
      </w:r>
      <w:r w:rsidR="0060218E" w:rsidRPr="00AD239A">
        <w:rPr>
          <w:rFonts w:ascii="Garamond" w:hAnsi="Garamond"/>
          <w:szCs w:val="22"/>
        </w:rPr>
        <w:t xml:space="preserve"> </w:t>
      </w:r>
      <w:r w:rsidR="00F37F98" w:rsidRPr="00AD239A">
        <w:rPr>
          <w:rFonts w:ascii="Garamond" w:hAnsi="Garamond"/>
          <w:szCs w:val="22"/>
        </w:rPr>
        <w:t>plaintiffs</w:t>
      </w:r>
      <w:r w:rsidR="0060218E" w:rsidRPr="00AD239A">
        <w:rPr>
          <w:rFonts w:ascii="Garamond" w:hAnsi="Garamond"/>
          <w:szCs w:val="22"/>
        </w:rPr>
        <w:t xml:space="preserve"> lack </w:t>
      </w:r>
      <w:r w:rsidR="00CA7A15" w:rsidRPr="00AD239A">
        <w:rPr>
          <w:rFonts w:ascii="Garamond" w:hAnsi="Garamond"/>
          <w:szCs w:val="22"/>
        </w:rPr>
        <w:t>that</w:t>
      </w:r>
      <w:r w:rsidR="00F273BA" w:rsidRPr="00AD239A">
        <w:rPr>
          <w:rFonts w:ascii="Garamond" w:hAnsi="Garamond"/>
          <w:szCs w:val="22"/>
        </w:rPr>
        <w:t xml:space="preserve"> full-throated, fully precedential statement from the Court.</w:t>
      </w:r>
    </w:p>
    <w:p w14:paraId="1597AD8B" w14:textId="4B2F0238" w:rsidR="00EF0907" w:rsidRPr="00AD239A" w:rsidRDefault="00381088" w:rsidP="00383D5D">
      <w:pPr>
        <w:ind w:firstLine="360"/>
        <w:rPr>
          <w:rStyle w:val="cosearchterm"/>
          <w:rFonts w:ascii="Garamond" w:eastAsia="Times New Roman" w:hAnsi="Garamond" w:cs="Times New Roman"/>
          <w:szCs w:val="22"/>
        </w:rPr>
      </w:pPr>
      <w:r w:rsidRPr="00AD239A">
        <w:rPr>
          <w:rFonts w:ascii="Garamond" w:hAnsi="Garamond"/>
          <w:szCs w:val="22"/>
        </w:rPr>
        <w:t>Third</w:t>
      </w:r>
      <w:r w:rsidR="0060218E" w:rsidRPr="00AD239A">
        <w:rPr>
          <w:rFonts w:ascii="Garamond" w:hAnsi="Garamond"/>
          <w:szCs w:val="22"/>
        </w:rPr>
        <w:t>,</w:t>
      </w:r>
      <w:r w:rsidR="00383D5D" w:rsidRPr="00AD239A">
        <w:rPr>
          <w:rFonts w:ascii="Garamond" w:hAnsi="Garamond"/>
          <w:szCs w:val="22"/>
        </w:rPr>
        <w:t xml:space="preserve"> it is difficult to reconcile summary </w:t>
      </w:r>
      <w:r w:rsidR="00A458C9" w:rsidRPr="00AD239A">
        <w:rPr>
          <w:rFonts w:ascii="Garamond" w:hAnsi="Garamond"/>
          <w:szCs w:val="22"/>
        </w:rPr>
        <w:t xml:space="preserve">per curiam </w:t>
      </w:r>
      <w:r w:rsidR="00735E8A" w:rsidRPr="00AD239A">
        <w:rPr>
          <w:rFonts w:ascii="Garamond" w:hAnsi="Garamond"/>
          <w:szCs w:val="22"/>
        </w:rPr>
        <w:t>disposition</w:t>
      </w:r>
      <w:r w:rsidR="00383D5D" w:rsidRPr="00AD239A">
        <w:rPr>
          <w:rFonts w:ascii="Garamond" w:hAnsi="Garamond"/>
          <w:szCs w:val="22"/>
        </w:rPr>
        <w:t xml:space="preserve"> in </w:t>
      </w:r>
      <w:r w:rsidR="00383D5D" w:rsidRPr="00AD239A">
        <w:rPr>
          <w:rFonts w:ascii="Garamond" w:hAnsi="Garamond"/>
          <w:i/>
          <w:szCs w:val="22"/>
        </w:rPr>
        <w:t>Tolan</w:t>
      </w:r>
      <w:r w:rsidR="00383D5D" w:rsidRPr="00AD239A">
        <w:rPr>
          <w:rFonts w:ascii="Garamond" w:hAnsi="Garamond"/>
          <w:szCs w:val="22"/>
        </w:rPr>
        <w:t xml:space="preserve"> with the GVR in </w:t>
      </w:r>
      <w:r w:rsidR="00383D5D" w:rsidRPr="00AD239A">
        <w:rPr>
          <w:rFonts w:ascii="Garamond" w:hAnsi="Garamond"/>
          <w:i/>
          <w:szCs w:val="22"/>
        </w:rPr>
        <w:t>Thomas</w:t>
      </w:r>
      <w:r w:rsidR="00383D5D" w:rsidRPr="00AD239A">
        <w:rPr>
          <w:rFonts w:ascii="Garamond" w:hAnsi="Garamond"/>
          <w:szCs w:val="22"/>
        </w:rPr>
        <w:t>.</w:t>
      </w:r>
      <w:r w:rsidR="00EF0907" w:rsidRPr="00AD239A">
        <w:rPr>
          <w:rFonts w:ascii="Garamond" w:hAnsi="Garamond"/>
          <w:szCs w:val="22"/>
        </w:rPr>
        <w:t xml:space="preserve"> A</w:t>
      </w:r>
      <w:r w:rsidR="00383D5D" w:rsidRPr="00AD239A">
        <w:rPr>
          <w:rFonts w:ascii="Garamond" w:hAnsi="Garamond"/>
          <w:szCs w:val="22"/>
        </w:rPr>
        <w:t xml:space="preserve"> summary reversal</w:t>
      </w:r>
      <w:r w:rsidR="00BE223A" w:rsidRPr="00AD239A">
        <w:rPr>
          <w:rFonts w:ascii="Garamond" w:hAnsi="Garamond"/>
          <w:szCs w:val="22"/>
        </w:rPr>
        <w:t xml:space="preserve"> is appropriate to correct a “clear misapprehension” of controlling law.</w:t>
      </w:r>
      <w:r w:rsidR="00BE223A" w:rsidRPr="00AD239A">
        <w:rPr>
          <w:rStyle w:val="FootnoteReference"/>
          <w:rFonts w:ascii="Garamond" w:hAnsi="Garamond"/>
          <w:szCs w:val="22"/>
        </w:rPr>
        <w:footnoteReference w:id="49"/>
      </w:r>
      <w:r w:rsidR="00EF0907" w:rsidRPr="00AD239A">
        <w:rPr>
          <w:rFonts w:ascii="Garamond" w:hAnsi="Garamond"/>
          <w:szCs w:val="22"/>
        </w:rPr>
        <w:t xml:space="preserve"> </w:t>
      </w:r>
      <w:r w:rsidR="00FD0FA9" w:rsidRPr="00AD239A">
        <w:rPr>
          <w:rFonts w:ascii="Garamond" w:hAnsi="Garamond"/>
          <w:szCs w:val="22"/>
        </w:rPr>
        <w:t xml:space="preserve">A </w:t>
      </w:r>
      <w:r w:rsidR="00EF0907" w:rsidRPr="00AD239A">
        <w:rPr>
          <w:rFonts w:ascii="Garamond" w:hAnsi="Garamond"/>
          <w:szCs w:val="22"/>
        </w:rPr>
        <w:t>GVR is appropriate where</w:t>
      </w:r>
      <w:r w:rsidR="00EF0907" w:rsidRPr="00AD239A">
        <w:rPr>
          <w:rFonts w:ascii="Garamond" w:eastAsia="Times New Roman" w:hAnsi="Garamond" w:cs="Times New Roman"/>
          <w:szCs w:val="22"/>
        </w:rPr>
        <w:t xml:space="preserve"> “intervening developments, or recent developments that we have reason to believe the court below did not fully consider, reveal a reasonable probability that the decision below rests upon a premise that the lower court would reject if given the opportunity for further consideration, and where it appears that such a redetermination may determine the ultimate outcome of the litigation.”</w:t>
      </w:r>
      <w:r w:rsidR="005A4811" w:rsidRPr="00AD239A">
        <w:rPr>
          <w:rStyle w:val="FootnoteReference"/>
          <w:rFonts w:ascii="Garamond" w:eastAsia="Times New Roman" w:hAnsi="Garamond" w:cs="Times New Roman"/>
          <w:szCs w:val="22"/>
        </w:rPr>
        <w:footnoteReference w:id="50"/>
      </w:r>
      <w:r w:rsidR="00C5709F" w:rsidRPr="00AD239A">
        <w:rPr>
          <w:rFonts w:ascii="Garamond" w:eastAsia="Times New Roman" w:hAnsi="Garamond" w:cs="Times New Roman"/>
          <w:szCs w:val="22"/>
        </w:rPr>
        <w:t xml:space="preserve"> That intervening development is typically</w:t>
      </w:r>
      <w:r w:rsidR="000E3684" w:rsidRPr="00AD239A">
        <w:rPr>
          <w:rFonts w:ascii="Garamond" w:eastAsia="Times New Roman" w:hAnsi="Garamond" w:cs="Times New Roman"/>
          <w:szCs w:val="22"/>
        </w:rPr>
        <w:t xml:space="preserve"> </w:t>
      </w:r>
      <w:r w:rsidR="00C5709F" w:rsidRPr="00AD239A">
        <w:rPr>
          <w:rFonts w:ascii="Garamond" w:eastAsia="Times New Roman" w:hAnsi="Garamond" w:cs="Times New Roman"/>
          <w:szCs w:val="22"/>
        </w:rPr>
        <w:t>a new decision from the Court.</w:t>
      </w:r>
      <w:r w:rsidR="00C5709F" w:rsidRPr="00AD239A">
        <w:rPr>
          <w:rStyle w:val="FootnoteReference"/>
          <w:rFonts w:ascii="Garamond" w:eastAsia="Times New Roman" w:hAnsi="Garamond" w:cs="Times New Roman"/>
          <w:szCs w:val="22"/>
        </w:rPr>
        <w:footnoteReference w:id="51"/>
      </w:r>
      <w:r w:rsidR="00C5709F" w:rsidRPr="00AD239A">
        <w:rPr>
          <w:rFonts w:ascii="Garamond" w:eastAsia="Times New Roman" w:hAnsi="Garamond" w:cs="Times New Roman"/>
          <w:szCs w:val="22"/>
        </w:rPr>
        <w:t xml:space="preserve"> </w:t>
      </w:r>
      <w:r w:rsidR="000E3684" w:rsidRPr="00AD239A">
        <w:rPr>
          <w:rFonts w:ascii="Garamond" w:eastAsia="Times New Roman" w:hAnsi="Garamond" w:cs="Times New Roman"/>
          <w:szCs w:val="22"/>
        </w:rPr>
        <w:t xml:space="preserve">The purpose is to flag </w:t>
      </w:r>
      <w:r w:rsidR="00C3431D" w:rsidRPr="00AD239A">
        <w:rPr>
          <w:rFonts w:ascii="Garamond" w:eastAsia="Times New Roman" w:hAnsi="Garamond" w:cs="Times New Roman"/>
          <w:szCs w:val="22"/>
        </w:rPr>
        <w:t>particular issue</w:t>
      </w:r>
      <w:r w:rsidR="000E3684" w:rsidRPr="00AD239A">
        <w:rPr>
          <w:rFonts w:ascii="Garamond" w:eastAsia="Times New Roman" w:hAnsi="Garamond" w:cs="Times New Roman"/>
          <w:szCs w:val="22"/>
        </w:rPr>
        <w:t>s</w:t>
      </w:r>
      <w:r w:rsidR="00C3431D" w:rsidRPr="00AD239A">
        <w:rPr>
          <w:rFonts w:ascii="Garamond" w:eastAsia="Times New Roman" w:hAnsi="Garamond" w:cs="Times New Roman"/>
          <w:szCs w:val="22"/>
        </w:rPr>
        <w:t xml:space="preserve"> that </w:t>
      </w:r>
      <w:r w:rsidR="000E3684" w:rsidRPr="00AD239A">
        <w:rPr>
          <w:rFonts w:ascii="Garamond" w:eastAsia="Times New Roman" w:hAnsi="Garamond" w:cs="Times New Roman"/>
          <w:szCs w:val="22"/>
        </w:rPr>
        <w:t>the lower court</w:t>
      </w:r>
      <w:r w:rsidR="00C3431D" w:rsidRPr="00AD239A">
        <w:rPr>
          <w:rFonts w:ascii="Garamond" w:eastAsia="Times New Roman" w:hAnsi="Garamond" w:cs="Times New Roman"/>
          <w:szCs w:val="22"/>
        </w:rPr>
        <w:t xml:space="preserve"> appears not to have fully considered</w:t>
      </w:r>
      <w:r w:rsidR="00781AA0" w:rsidRPr="00AD239A">
        <w:rPr>
          <w:rFonts w:ascii="Garamond" w:eastAsia="Times New Roman" w:hAnsi="Garamond" w:cs="Times New Roman"/>
          <w:szCs w:val="22"/>
        </w:rPr>
        <w:t xml:space="preserve"> and to offer it</w:t>
      </w:r>
      <w:r w:rsidR="00C3431D" w:rsidRPr="00AD239A">
        <w:rPr>
          <w:rFonts w:ascii="Garamond" w:eastAsia="Times New Roman" w:hAnsi="Garamond" w:cs="Times New Roman"/>
          <w:szCs w:val="22"/>
        </w:rPr>
        <w:t xml:space="preserve"> first crack at deciding the case in light of these intervening developments.</w:t>
      </w:r>
      <w:r w:rsidR="00383D5D" w:rsidRPr="00AD239A">
        <w:rPr>
          <w:rFonts w:ascii="Garamond" w:eastAsia="Times New Roman" w:hAnsi="Garamond" w:cs="Times New Roman"/>
          <w:szCs w:val="22"/>
        </w:rPr>
        <w:t xml:space="preserve"> </w:t>
      </w:r>
      <w:r w:rsidR="0028482E" w:rsidRPr="00AD239A">
        <w:rPr>
          <w:rFonts w:ascii="Garamond" w:eastAsia="Times New Roman" w:hAnsi="Garamond" w:cs="Times New Roman"/>
          <w:szCs w:val="22"/>
        </w:rPr>
        <w:t>S</w:t>
      </w:r>
      <w:r w:rsidR="00E63ABE" w:rsidRPr="00AD239A">
        <w:rPr>
          <w:rFonts w:ascii="Garamond" w:eastAsia="Times New Roman" w:hAnsi="Garamond" w:cs="Times New Roman"/>
          <w:szCs w:val="22"/>
        </w:rPr>
        <w:t xml:space="preserve">ummary reversals </w:t>
      </w:r>
      <w:r w:rsidR="0028482E" w:rsidRPr="00AD239A">
        <w:rPr>
          <w:rFonts w:ascii="Garamond" w:eastAsia="Times New Roman" w:hAnsi="Garamond" w:cs="Times New Roman"/>
          <w:szCs w:val="22"/>
        </w:rPr>
        <w:t xml:space="preserve">and GVRs </w:t>
      </w:r>
      <w:r w:rsidR="00E63ABE" w:rsidRPr="00AD239A">
        <w:rPr>
          <w:rFonts w:ascii="Garamond" w:eastAsia="Times New Roman" w:hAnsi="Garamond" w:cs="Times New Roman"/>
          <w:szCs w:val="22"/>
        </w:rPr>
        <w:t xml:space="preserve">are competing ways to correct obvious lower-court error, the </w:t>
      </w:r>
      <w:r w:rsidR="0028482E" w:rsidRPr="00AD239A">
        <w:rPr>
          <w:rFonts w:ascii="Garamond" w:eastAsia="Times New Roman" w:hAnsi="Garamond" w:cs="Times New Roman"/>
          <w:szCs w:val="22"/>
        </w:rPr>
        <w:t>latter a</w:t>
      </w:r>
      <w:r w:rsidR="00E63ABE" w:rsidRPr="00AD239A">
        <w:rPr>
          <w:rFonts w:ascii="Garamond" w:eastAsia="Times New Roman" w:hAnsi="Garamond" w:cs="Times New Roman"/>
          <w:szCs w:val="22"/>
        </w:rPr>
        <w:t xml:space="preserve"> </w:t>
      </w:r>
      <w:r w:rsidR="00383D5D" w:rsidRPr="00AD239A">
        <w:rPr>
          <w:rFonts w:ascii="Garamond" w:eastAsia="Times New Roman" w:hAnsi="Garamond" w:cs="Times New Roman"/>
          <w:szCs w:val="22"/>
        </w:rPr>
        <w:t>“cautious and deferential alternative</w:t>
      </w:r>
      <w:r w:rsidR="00E63ABE" w:rsidRPr="00AD239A">
        <w:rPr>
          <w:rFonts w:ascii="Garamond" w:eastAsia="Times New Roman" w:hAnsi="Garamond" w:cs="Times New Roman"/>
          <w:szCs w:val="22"/>
        </w:rPr>
        <w:t>”</w:t>
      </w:r>
      <w:r w:rsidR="00383D5D" w:rsidRPr="00AD239A">
        <w:rPr>
          <w:rFonts w:ascii="Garamond" w:eastAsia="Times New Roman" w:hAnsi="Garamond" w:cs="Times New Roman"/>
          <w:szCs w:val="22"/>
        </w:rPr>
        <w:t xml:space="preserve"> to </w:t>
      </w:r>
      <w:r w:rsidR="00E63ABE" w:rsidRPr="00AD239A">
        <w:rPr>
          <w:rStyle w:val="cosearchterm"/>
          <w:rFonts w:ascii="Garamond" w:eastAsia="Times New Roman" w:hAnsi="Garamond" w:cs="Times New Roman"/>
          <w:szCs w:val="22"/>
        </w:rPr>
        <w:t xml:space="preserve">the </w:t>
      </w:r>
      <w:r w:rsidR="00CE24F2" w:rsidRPr="00AD239A">
        <w:rPr>
          <w:rStyle w:val="cosearchterm"/>
          <w:rFonts w:ascii="Garamond" w:eastAsia="Times New Roman" w:hAnsi="Garamond" w:cs="Times New Roman"/>
          <w:szCs w:val="22"/>
        </w:rPr>
        <w:t>former</w:t>
      </w:r>
      <w:r w:rsidR="00E63ABE" w:rsidRPr="00AD239A">
        <w:rPr>
          <w:rStyle w:val="cosearchterm"/>
          <w:rFonts w:ascii="Garamond" w:eastAsia="Times New Roman" w:hAnsi="Garamond" w:cs="Times New Roman"/>
          <w:szCs w:val="22"/>
        </w:rPr>
        <w:t>,</w:t>
      </w:r>
      <w:r w:rsidR="00EE3887" w:rsidRPr="00AD239A">
        <w:rPr>
          <w:rStyle w:val="FootnoteReference"/>
          <w:rFonts w:ascii="Garamond" w:eastAsia="Times New Roman" w:hAnsi="Garamond" w:cs="Times New Roman"/>
          <w:szCs w:val="22"/>
        </w:rPr>
        <w:footnoteReference w:id="52"/>
      </w:r>
      <w:r w:rsidR="00E63ABE" w:rsidRPr="00AD239A">
        <w:rPr>
          <w:rStyle w:val="cosearchterm"/>
          <w:rFonts w:ascii="Garamond" w:eastAsia="Times New Roman" w:hAnsi="Garamond" w:cs="Times New Roman"/>
          <w:szCs w:val="22"/>
        </w:rPr>
        <w:t xml:space="preserve"> allo</w:t>
      </w:r>
      <w:r w:rsidR="00CE24F2" w:rsidRPr="00AD239A">
        <w:rPr>
          <w:rStyle w:val="cosearchterm"/>
          <w:rFonts w:ascii="Garamond" w:eastAsia="Times New Roman" w:hAnsi="Garamond" w:cs="Times New Roman"/>
          <w:szCs w:val="22"/>
        </w:rPr>
        <w:t>wing the lower court to look for and correct its own</w:t>
      </w:r>
      <w:r w:rsidR="00E63ABE" w:rsidRPr="00AD239A">
        <w:rPr>
          <w:rStyle w:val="cosearchterm"/>
          <w:rFonts w:ascii="Garamond" w:eastAsia="Times New Roman" w:hAnsi="Garamond" w:cs="Times New Roman"/>
          <w:szCs w:val="22"/>
        </w:rPr>
        <w:t xml:space="preserve"> error rather than </w:t>
      </w:r>
      <w:r w:rsidR="00FA15E9" w:rsidRPr="00AD239A">
        <w:rPr>
          <w:rStyle w:val="cosearchterm"/>
          <w:rFonts w:ascii="Garamond" w:eastAsia="Times New Roman" w:hAnsi="Garamond" w:cs="Times New Roman"/>
          <w:szCs w:val="22"/>
        </w:rPr>
        <w:t>having the Supreme Court do it for them.</w:t>
      </w:r>
      <w:r w:rsidR="002759DB" w:rsidRPr="00AD239A">
        <w:rPr>
          <w:rStyle w:val="FootnoteReference"/>
          <w:rFonts w:ascii="Garamond" w:eastAsia="Times New Roman" w:hAnsi="Garamond" w:cs="Times New Roman"/>
          <w:szCs w:val="22"/>
        </w:rPr>
        <w:footnoteReference w:id="53"/>
      </w:r>
    </w:p>
    <w:p w14:paraId="0C3EADE4" w14:textId="1930F429" w:rsidR="00735E8A" w:rsidRPr="00AD239A" w:rsidRDefault="00735E8A" w:rsidP="00383D5D">
      <w:pPr>
        <w:ind w:firstLine="360"/>
        <w:rPr>
          <w:rStyle w:val="cosearchterm"/>
          <w:rFonts w:ascii="Garamond" w:eastAsia="Times New Roman" w:hAnsi="Garamond" w:cs="Times New Roman"/>
          <w:szCs w:val="22"/>
        </w:rPr>
      </w:pPr>
      <w:r w:rsidRPr="00AD239A">
        <w:rPr>
          <w:rStyle w:val="cosearchterm"/>
          <w:rFonts w:ascii="Garamond" w:eastAsia="Times New Roman" w:hAnsi="Garamond" w:cs="Times New Roman"/>
          <w:szCs w:val="22"/>
        </w:rPr>
        <w:t xml:space="preserve">While </w:t>
      </w:r>
      <w:r w:rsidRPr="00AD239A">
        <w:rPr>
          <w:rStyle w:val="cosearchterm"/>
          <w:rFonts w:ascii="Garamond" w:eastAsia="Times New Roman" w:hAnsi="Garamond" w:cs="Times New Roman"/>
          <w:i/>
          <w:szCs w:val="22"/>
        </w:rPr>
        <w:t>Thomas</w:t>
      </w:r>
      <w:r w:rsidRPr="00AD239A">
        <w:rPr>
          <w:rStyle w:val="cosearchterm"/>
          <w:rFonts w:ascii="Garamond" w:eastAsia="Times New Roman" w:hAnsi="Garamond" w:cs="Times New Roman"/>
          <w:szCs w:val="22"/>
        </w:rPr>
        <w:t xml:space="preserve"> was a clear GVR, </w:t>
      </w:r>
      <w:r w:rsidRPr="00AD239A">
        <w:rPr>
          <w:rStyle w:val="cosearchterm"/>
          <w:rFonts w:ascii="Garamond" w:eastAsia="Times New Roman" w:hAnsi="Garamond" w:cs="Times New Roman"/>
          <w:i/>
          <w:szCs w:val="22"/>
        </w:rPr>
        <w:t>Tolan</w:t>
      </w:r>
      <w:r w:rsidRPr="00AD239A">
        <w:rPr>
          <w:rStyle w:val="cosearchterm"/>
          <w:rFonts w:ascii="Garamond" w:eastAsia="Times New Roman" w:hAnsi="Garamond" w:cs="Times New Roman"/>
          <w:szCs w:val="22"/>
        </w:rPr>
        <w:t xml:space="preserve"> is a bit harder to characterize. The per curiam opinion moves it outside the typical GVR, which</w:t>
      </w:r>
      <w:r w:rsidR="00D8195E" w:rsidRPr="00AD239A">
        <w:rPr>
          <w:rStyle w:val="cosearchterm"/>
          <w:rFonts w:ascii="Garamond" w:eastAsia="Times New Roman" w:hAnsi="Garamond" w:cs="Times New Roman"/>
          <w:szCs w:val="22"/>
        </w:rPr>
        <w:t xml:space="preserve"> (as in </w:t>
      </w:r>
      <w:r w:rsidR="00D8195E" w:rsidRPr="00AD239A">
        <w:rPr>
          <w:rStyle w:val="cosearchterm"/>
          <w:rFonts w:ascii="Garamond" w:eastAsia="Times New Roman" w:hAnsi="Garamond" w:cs="Times New Roman"/>
          <w:i/>
          <w:szCs w:val="22"/>
        </w:rPr>
        <w:t>Thomas</w:t>
      </w:r>
      <w:r w:rsidR="00D8195E" w:rsidRPr="00AD239A">
        <w:rPr>
          <w:rStyle w:val="cosearchterm"/>
          <w:rFonts w:ascii="Garamond" w:eastAsia="Times New Roman" w:hAnsi="Garamond" w:cs="Times New Roman"/>
          <w:szCs w:val="22"/>
        </w:rPr>
        <w:t>)</w:t>
      </w:r>
      <w:r w:rsidRPr="00AD239A">
        <w:rPr>
          <w:rStyle w:val="cosearchterm"/>
          <w:rFonts w:ascii="Garamond" w:eastAsia="Times New Roman" w:hAnsi="Garamond" w:cs="Times New Roman"/>
          <w:szCs w:val="22"/>
        </w:rPr>
        <w:t xml:space="preserve"> typically is a few boilerplate lines</w:t>
      </w:r>
      <w:r w:rsidR="00D8195E" w:rsidRPr="00AD239A">
        <w:rPr>
          <w:rStyle w:val="cosearchterm"/>
          <w:rFonts w:ascii="Garamond" w:eastAsia="Times New Roman" w:hAnsi="Garamond" w:cs="Times New Roman"/>
          <w:szCs w:val="22"/>
        </w:rPr>
        <w:t>.</w:t>
      </w:r>
      <w:r w:rsidRPr="00AD239A">
        <w:rPr>
          <w:rStyle w:val="FootnoteReference"/>
          <w:rFonts w:ascii="Garamond" w:eastAsia="Times New Roman" w:hAnsi="Garamond" w:cs="Times New Roman"/>
          <w:szCs w:val="22"/>
        </w:rPr>
        <w:footnoteReference w:id="54"/>
      </w:r>
      <w:r w:rsidR="00D8195E" w:rsidRPr="00AD239A">
        <w:rPr>
          <w:rStyle w:val="cosearchterm"/>
          <w:rFonts w:ascii="Garamond" w:eastAsia="Times New Roman" w:hAnsi="Garamond" w:cs="Times New Roman"/>
          <w:szCs w:val="22"/>
        </w:rPr>
        <w:t xml:space="preserve"> It better fits in a not-uncommon class of cases that purport to grant, vacate, and remand, but that are better seen as summary reversals--the Court finds that the lower court applied the wrong standard, but rather than applying the correct standard, it remands for the lower court to do it.</w:t>
      </w:r>
      <w:r w:rsidR="00D8195E" w:rsidRPr="00AD239A">
        <w:rPr>
          <w:rStyle w:val="FootnoteReference"/>
          <w:rFonts w:ascii="Garamond" w:eastAsia="Times New Roman" w:hAnsi="Garamond" w:cs="Times New Roman"/>
          <w:szCs w:val="22"/>
        </w:rPr>
        <w:footnoteReference w:id="55"/>
      </w:r>
      <w:r w:rsidR="00D8195E" w:rsidRPr="00AD239A">
        <w:rPr>
          <w:rStyle w:val="cosearchterm"/>
          <w:rFonts w:ascii="Garamond" w:eastAsia="Times New Roman" w:hAnsi="Garamond" w:cs="Times New Roman"/>
          <w:szCs w:val="22"/>
        </w:rPr>
        <w:t xml:space="preserve"> </w:t>
      </w:r>
      <w:r w:rsidR="00B833F4" w:rsidRPr="00AD239A">
        <w:rPr>
          <w:rStyle w:val="cosearchterm"/>
          <w:rFonts w:ascii="Garamond" w:eastAsia="Times New Roman" w:hAnsi="Garamond" w:cs="Times New Roman"/>
          <w:szCs w:val="22"/>
        </w:rPr>
        <w:t xml:space="preserve">Instead, the Court appears to have applied the proper summary judgment standard </w:t>
      </w:r>
      <w:r w:rsidR="002D0B6B" w:rsidRPr="00AD239A">
        <w:rPr>
          <w:rStyle w:val="cosearchterm"/>
          <w:rFonts w:ascii="Garamond" w:eastAsia="Times New Roman" w:hAnsi="Garamond" w:cs="Times New Roman"/>
          <w:szCs w:val="22"/>
        </w:rPr>
        <w:t xml:space="preserve">itself </w:t>
      </w:r>
      <w:r w:rsidR="00B833F4" w:rsidRPr="00AD239A">
        <w:rPr>
          <w:rStyle w:val="cosearchterm"/>
          <w:rFonts w:ascii="Garamond" w:eastAsia="Times New Roman" w:hAnsi="Garamond" w:cs="Times New Roman"/>
          <w:szCs w:val="22"/>
        </w:rPr>
        <w:t>to find that those four facts were not in dispute</w:t>
      </w:r>
      <w:r w:rsidR="002D0B6B" w:rsidRPr="00AD239A">
        <w:rPr>
          <w:rStyle w:val="cosearchterm"/>
          <w:rFonts w:ascii="Garamond" w:eastAsia="Times New Roman" w:hAnsi="Garamond" w:cs="Times New Roman"/>
          <w:szCs w:val="22"/>
        </w:rPr>
        <w:t>. But it</w:t>
      </w:r>
      <w:r w:rsidR="00B833F4" w:rsidRPr="00AD239A">
        <w:rPr>
          <w:rStyle w:val="cosearchterm"/>
          <w:rFonts w:ascii="Garamond" w:eastAsia="Times New Roman" w:hAnsi="Garamond" w:cs="Times New Roman"/>
          <w:szCs w:val="22"/>
        </w:rPr>
        <w:t xml:space="preserve"> remand</w:t>
      </w:r>
      <w:r w:rsidR="008574B4" w:rsidRPr="00AD239A">
        <w:rPr>
          <w:rStyle w:val="cosearchterm"/>
          <w:rFonts w:ascii="Garamond" w:eastAsia="Times New Roman" w:hAnsi="Garamond" w:cs="Times New Roman"/>
          <w:szCs w:val="22"/>
        </w:rPr>
        <w:t>ed</w:t>
      </w:r>
      <w:r w:rsidR="00B833F4" w:rsidRPr="00AD239A">
        <w:rPr>
          <w:rStyle w:val="cosearchterm"/>
          <w:rFonts w:ascii="Garamond" w:eastAsia="Times New Roman" w:hAnsi="Garamond" w:cs="Times New Roman"/>
          <w:szCs w:val="22"/>
        </w:rPr>
        <w:t xml:space="preserve"> so the lower court could consider whether other facts nevertheless warranted summary judgment.</w:t>
      </w:r>
      <w:r w:rsidR="00B833F4" w:rsidRPr="00AD239A">
        <w:rPr>
          <w:rStyle w:val="FootnoteReference"/>
          <w:rFonts w:ascii="Garamond" w:eastAsia="Times New Roman" w:hAnsi="Garamond" w:cs="Times New Roman"/>
          <w:szCs w:val="22"/>
        </w:rPr>
        <w:footnoteReference w:id="56"/>
      </w:r>
      <w:r w:rsidR="008574B4" w:rsidRPr="00AD239A">
        <w:rPr>
          <w:rStyle w:val="cosearchterm"/>
          <w:rFonts w:ascii="Garamond" w:eastAsia="Times New Roman" w:hAnsi="Garamond" w:cs="Times New Roman"/>
          <w:szCs w:val="22"/>
        </w:rPr>
        <w:t xml:space="preserve"> </w:t>
      </w:r>
    </w:p>
    <w:p w14:paraId="536D4678" w14:textId="0F93DF14" w:rsidR="00E63ABE" w:rsidRPr="00AD239A" w:rsidRDefault="00735E8A" w:rsidP="00383D5D">
      <w:pPr>
        <w:ind w:firstLine="360"/>
        <w:rPr>
          <w:rStyle w:val="cosearchterm"/>
          <w:rFonts w:ascii="Garamond" w:eastAsia="Times New Roman" w:hAnsi="Garamond" w:cs="Times New Roman"/>
          <w:szCs w:val="22"/>
        </w:rPr>
      </w:pPr>
      <w:r w:rsidRPr="00AD239A">
        <w:rPr>
          <w:rStyle w:val="cosearchterm"/>
          <w:rFonts w:ascii="Garamond" w:eastAsia="Times New Roman" w:hAnsi="Garamond" w:cs="Times New Roman"/>
          <w:szCs w:val="22"/>
        </w:rPr>
        <w:t>Accepting</w:t>
      </w:r>
      <w:r w:rsidR="00E63ABE" w:rsidRPr="00AD239A">
        <w:rPr>
          <w:rStyle w:val="cosearchterm"/>
          <w:rFonts w:ascii="Garamond" w:eastAsia="Times New Roman" w:hAnsi="Garamond" w:cs="Times New Roman"/>
          <w:szCs w:val="22"/>
        </w:rPr>
        <w:t xml:space="preserve"> </w:t>
      </w:r>
      <w:r w:rsidR="00E63ABE" w:rsidRPr="00AD239A">
        <w:rPr>
          <w:rStyle w:val="cosearchterm"/>
          <w:rFonts w:ascii="Garamond" w:eastAsia="Times New Roman" w:hAnsi="Garamond" w:cs="Times New Roman"/>
          <w:i/>
          <w:szCs w:val="22"/>
        </w:rPr>
        <w:t>Tolan</w:t>
      </w:r>
      <w:r w:rsidR="00E63ABE" w:rsidRPr="00AD239A">
        <w:rPr>
          <w:rStyle w:val="cosearchterm"/>
          <w:rFonts w:ascii="Garamond" w:eastAsia="Times New Roman" w:hAnsi="Garamond" w:cs="Times New Roman"/>
          <w:szCs w:val="22"/>
        </w:rPr>
        <w:t xml:space="preserve"> was appropriate </w:t>
      </w:r>
      <w:r w:rsidR="00DB76F9" w:rsidRPr="00AD239A">
        <w:rPr>
          <w:rStyle w:val="cosearchterm"/>
          <w:rFonts w:ascii="Garamond" w:eastAsia="Times New Roman" w:hAnsi="Garamond" w:cs="Times New Roman"/>
          <w:szCs w:val="22"/>
        </w:rPr>
        <w:t xml:space="preserve">for </w:t>
      </w:r>
      <w:r w:rsidR="00E63ABE" w:rsidRPr="00AD239A">
        <w:rPr>
          <w:rStyle w:val="cosearchterm"/>
          <w:rFonts w:ascii="Garamond" w:eastAsia="Times New Roman" w:hAnsi="Garamond" w:cs="Times New Roman"/>
          <w:szCs w:val="22"/>
        </w:rPr>
        <w:t>summary reversal</w:t>
      </w:r>
      <w:r w:rsidR="00641B87" w:rsidRPr="00AD239A">
        <w:rPr>
          <w:rStyle w:val="FootnoteReference"/>
          <w:rFonts w:ascii="Garamond" w:eastAsia="Times New Roman" w:hAnsi="Garamond" w:cs="Times New Roman"/>
          <w:szCs w:val="22"/>
        </w:rPr>
        <w:footnoteReference w:id="57"/>
      </w:r>
      <w:r w:rsidR="00E63ABE" w:rsidRPr="00AD239A">
        <w:rPr>
          <w:rStyle w:val="cosearchterm"/>
          <w:rFonts w:ascii="Garamond" w:eastAsia="Times New Roman" w:hAnsi="Garamond" w:cs="Times New Roman"/>
          <w:szCs w:val="22"/>
        </w:rPr>
        <w:t xml:space="preserve"> correcting a clear and obvious misunderstanding of established precedent, </w:t>
      </w:r>
      <w:r w:rsidR="006B5667" w:rsidRPr="00AD239A">
        <w:rPr>
          <w:rStyle w:val="cosearchterm"/>
          <w:rFonts w:ascii="Garamond" w:eastAsia="Times New Roman" w:hAnsi="Garamond" w:cs="Times New Roman"/>
          <w:szCs w:val="22"/>
        </w:rPr>
        <w:t>it should not</w:t>
      </w:r>
      <w:r w:rsidR="00072AB5" w:rsidRPr="00AD239A">
        <w:rPr>
          <w:rStyle w:val="cosearchterm"/>
          <w:rFonts w:ascii="Garamond" w:eastAsia="Times New Roman" w:hAnsi="Garamond" w:cs="Times New Roman"/>
          <w:szCs w:val="22"/>
        </w:rPr>
        <w:t xml:space="preserve"> function as a</w:t>
      </w:r>
      <w:r w:rsidR="006652EF" w:rsidRPr="00AD239A">
        <w:rPr>
          <w:rStyle w:val="cosearchterm"/>
          <w:rFonts w:ascii="Garamond" w:eastAsia="Times New Roman" w:hAnsi="Garamond" w:cs="Times New Roman"/>
          <w:szCs w:val="22"/>
        </w:rPr>
        <w:t>n</w:t>
      </w:r>
      <w:r w:rsidR="00E63ABE" w:rsidRPr="00AD239A">
        <w:rPr>
          <w:rStyle w:val="cosearchterm"/>
          <w:rFonts w:ascii="Garamond" w:eastAsia="Times New Roman" w:hAnsi="Garamond" w:cs="Times New Roman"/>
          <w:szCs w:val="22"/>
        </w:rPr>
        <w:t xml:space="preserve"> intervening or recent development in the law that the </w:t>
      </w:r>
      <w:r w:rsidR="006652EF" w:rsidRPr="00AD239A">
        <w:rPr>
          <w:rStyle w:val="cosearchterm"/>
          <w:rFonts w:ascii="Garamond" w:eastAsia="Times New Roman" w:hAnsi="Garamond" w:cs="Times New Roman"/>
          <w:szCs w:val="22"/>
        </w:rPr>
        <w:t>Fifth Circuit panel</w:t>
      </w:r>
      <w:r w:rsidR="00E63ABE" w:rsidRPr="00AD239A">
        <w:rPr>
          <w:rStyle w:val="cosearchterm"/>
          <w:rFonts w:ascii="Garamond" w:eastAsia="Times New Roman" w:hAnsi="Garamond" w:cs="Times New Roman"/>
          <w:szCs w:val="22"/>
        </w:rPr>
        <w:t xml:space="preserve"> did not have an opportunity to consider</w:t>
      </w:r>
      <w:r w:rsidR="006652EF" w:rsidRPr="00AD239A">
        <w:rPr>
          <w:rStyle w:val="cosearchterm"/>
          <w:rFonts w:ascii="Garamond" w:eastAsia="Times New Roman" w:hAnsi="Garamond" w:cs="Times New Roman"/>
          <w:szCs w:val="22"/>
        </w:rPr>
        <w:t xml:space="preserve"> in </w:t>
      </w:r>
      <w:r w:rsidR="006652EF" w:rsidRPr="00AD239A">
        <w:rPr>
          <w:rStyle w:val="cosearchterm"/>
          <w:rFonts w:ascii="Garamond" w:eastAsia="Times New Roman" w:hAnsi="Garamond" w:cs="Times New Roman"/>
          <w:i/>
          <w:szCs w:val="22"/>
        </w:rPr>
        <w:t>Thomas</w:t>
      </w:r>
      <w:r w:rsidR="00E63ABE" w:rsidRPr="00AD239A">
        <w:rPr>
          <w:rStyle w:val="cosearchterm"/>
          <w:rFonts w:ascii="Garamond" w:eastAsia="Times New Roman" w:hAnsi="Garamond" w:cs="Times New Roman"/>
          <w:szCs w:val="22"/>
        </w:rPr>
        <w:t xml:space="preserve">. </w:t>
      </w:r>
      <w:r w:rsidR="00A76652" w:rsidRPr="00AD239A">
        <w:rPr>
          <w:rStyle w:val="cosearchterm"/>
          <w:rFonts w:ascii="Garamond" w:eastAsia="Times New Roman" w:hAnsi="Garamond" w:cs="Times New Roman"/>
          <w:szCs w:val="22"/>
        </w:rPr>
        <w:t>The Fifth Circuuit</w:t>
      </w:r>
      <w:r w:rsidR="006652EF" w:rsidRPr="00AD239A">
        <w:rPr>
          <w:rStyle w:val="cosearchterm"/>
          <w:rFonts w:ascii="Garamond" w:eastAsia="Times New Roman" w:hAnsi="Garamond" w:cs="Times New Roman"/>
          <w:szCs w:val="22"/>
        </w:rPr>
        <w:t xml:space="preserve"> </w:t>
      </w:r>
      <w:r w:rsidR="00E63ABE" w:rsidRPr="00AD239A">
        <w:rPr>
          <w:rStyle w:val="cosearchterm"/>
          <w:rFonts w:ascii="Garamond" w:eastAsia="Times New Roman" w:hAnsi="Garamond" w:cs="Times New Roman"/>
          <w:szCs w:val="22"/>
        </w:rPr>
        <w:t xml:space="preserve">knew the existing precedents and standards </w:t>
      </w:r>
      <w:r w:rsidR="006652EF" w:rsidRPr="00AD239A">
        <w:rPr>
          <w:rStyle w:val="cosearchterm"/>
          <w:rFonts w:ascii="Garamond" w:eastAsia="Times New Roman" w:hAnsi="Garamond" w:cs="Times New Roman"/>
          <w:szCs w:val="22"/>
        </w:rPr>
        <w:t>for</w:t>
      </w:r>
      <w:r w:rsidR="00E63ABE" w:rsidRPr="00AD239A">
        <w:rPr>
          <w:rStyle w:val="cosearchterm"/>
          <w:rFonts w:ascii="Garamond" w:eastAsia="Times New Roman" w:hAnsi="Garamond" w:cs="Times New Roman"/>
          <w:szCs w:val="22"/>
        </w:rPr>
        <w:t xml:space="preserve"> summary judgment; nothing in </w:t>
      </w:r>
      <w:r w:rsidR="00E63ABE" w:rsidRPr="00AD239A">
        <w:rPr>
          <w:rStyle w:val="cosearchterm"/>
          <w:rFonts w:ascii="Garamond" w:eastAsia="Times New Roman" w:hAnsi="Garamond" w:cs="Times New Roman"/>
          <w:i/>
          <w:szCs w:val="22"/>
        </w:rPr>
        <w:t>Tolan</w:t>
      </w:r>
      <w:r w:rsidR="00E63ABE" w:rsidRPr="00AD239A">
        <w:rPr>
          <w:rStyle w:val="cosearchterm"/>
          <w:rFonts w:ascii="Garamond" w:eastAsia="Times New Roman" w:hAnsi="Garamond" w:cs="Times New Roman"/>
          <w:szCs w:val="22"/>
        </w:rPr>
        <w:t xml:space="preserve"> purports to change them and nothing in </w:t>
      </w:r>
      <w:r w:rsidR="00E63ABE" w:rsidRPr="00AD239A">
        <w:rPr>
          <w:rStyle w:val="cosearchterm"/>
          <w:rFonts w:ascii="Garamond" w:eastAsia="Times New Roman" w:hAnsi="Garamond" w:cs="Times New Roman"/>
          <w:i/>
          <w:szCs w:val="22"/>
        </w:rPr>
        <w:t>Tolan</w:t>
      </w:r>
      <w:r w:rsidR="00E63ABE" w:rsidRPr="00AD239A">
        <w:rPr>
          <w:rStyle w:val="cosearchterm"/>
          <w:rFonts w:ascii="Garamond" w:eastAsia="Times New Roman" w:hAnsi="Garamond" w:cs="Times New Roman"/>
          <w:szCs w:val="22"/>
        </w:rPr>
        <w:t xml:space="preserve"> tells the panel something it did not already know or consider</w:t>
      </w:r>
      <w:r w:rsidR="00C100D3" w:rsidRPr="00AD239A">
        <w:rPr>
          <w:rStyle w:val="cosearchterm"/>
          <w:rFonts w:ascii="Garamond" w:eastAsia="Times New Roman" w:hAnsi="Garamond" w:cs="Times New Roman"/>
          <w:szCs w:val="22"/>
        </w:rPr>
        <w:t xml:space="preserve"> about the law of summary judgment</w:t>
      </w:r>
      <w:r w:rsidR="00E63ABE" w:rsidRPr="00AD239A">
        <w:rPr>
          <w:rStyle w:val="cosearchterm"/>
          <w:rFonts w:ascii="Garamond" w:eastAsia="Times New Roman" w:hAnsi="Garamond" w:cs="Times New Roman"/>
          <w:szCs w:val="22"/>
        </w:rPr>
        <w:t>.</w:t>
      </w:r>
      <w:r w:rsidR="00E63ABE" w:rsidRPr="00AD239A">
        <w:rPr>
          <w:rStyle w:val="cosearchterm"/>
          <w:rFonts w:ascii="Garamond" w:eastAsia="Times New Roman" w:hAnsi="Garamond" w:cs="Times New Roman"/>
          <w:i/>
          <w:szCs w:val="22"/>
        </w:rPr>
        <w:t xml:space="preserve"> </w:t>
      </w:r>
      <w:r w:rsidR="00E63ABE" w:rsidRPr="00AD239A">
        <w:rPr>
          <w:rStyle w:val="cosearchterm"/>
          <w:rFonts w:ascii="Garamond" w:eastAsia="Times New Roman" w:hAnsi="Garamond" w:cs="Times New Roman"/>
          <w:szCs w:val="22"/>
        </w:rPr>
        <w:t xml:space="preserve">The two cases </w:t>
      </w:r>
      <w:r w:rsidR="00C77FB8" w:rsidRPr="00AD239A">
        <w:rPr>
          <w:rStyle w:val="cosearchterm"/>
          <w:rFonts w:ascii="Garamond" w:eastAsia="Times New Roman" w:hAnsi="Garamond" w:cs="Times New Roman"/>
          <w:szCs w:val="22"/>
        </w:rPr>
        <w:t>stand on the same footing</w:t>
      </w:r>
      <w:r w:rsidR="00E63ABE" w:rsidRPr="00AD239A">
        <w:rPr>
          <w:rStyle w:val="cosearchterm"/>
          <w:rFonts w:ascii="Garamond" w:eastAsia="Times New Roman" w:hAnsi="Garamond" w:cs="Times New Roman"/>
          <w:szCs w:val="22"/>
        </w:rPr>
        <w:t xml:space="preserve">--both were either right or wrong in </w:t>
      </w:r>
      <w:r w:rsidR="006652EF" w:rsidRPr="00AD239A">
        <w:rPr>
          <w:rStyle w:val="cosearchterm"/>
          <w:rFonts w:ascii="Garamond" w:eastAsia="Times New Roman" w:hAnsi="Garamond" w:cs="Times New Roman"/>
          <w:szCs w:val="22"/>
        </w:rPr>
        <w:t>their application of</w:t>
      </w:r>
      <w:r w:rsidR="00E63ABE" w:rsidRPr="00AD239A">
        <w:rPr>
          <w:rStyle w:val="cosearchterm"/>
          <w:rFonts w:ascii="Garamond" w:eastAsia="Times New Roman" w:hAnsi="Garamond" w:cs="Times New Roman"/>
          <w:szCs w:val="22"/>
        </w:rPr>
        <w:t xml:space="preserve"> existing summary judgment law. It follows</w:t>
      </w:r>
      <w:r w:rsidR="006652EF" w:rsidRPr="00AD239A">
        <w:rPr>
          <w:rStyle w:val="cosearchterm"/>
          <w:rFonts w:ascii="Garamond" w:eastAsia="Times New Roman" w:hAnsi="Garamond" w:cs="Times New Roman"/>
          <w:szCs w:val="22"/>
        </w:rPr>
        <w:t xml:space="preserve"> that</w:t>
      </w:r>
      <w:r w:rsidR="00E63ABE" w:rsidRPr="00AD239A">
        <w:rPr>
          <w:rStyle w:val="cosearchterm"/>
          <w:rFonts w:ascii="Garamond" w:eastAsia="Times New Roman" w:hAnsi="Garamond" w:cs="Times New Roman"/>
          <w:szCs w:val="22"/>
        </w:rPr>
        <w:t xml:space="preserve"> </w:t>
      </w:r>
      <w:r w:rsidR="00E63ABE" w:rsidRPr="00AD239A">
        <w:rPr>
          <w:rStyle w:val="cosearchterm"/>
          <w:rFonts w:ascii="Garamond" w:eastAsia="Times New Roman" w:hAnsi="Garamond" w:cs="Times New Roman"/>
          <w:i/>
          <w:szCs w:val="22"/>
        </w:rPr>
        <w:t>Thomas</w:t>
      </w:r>
      <w:r w:rsidR="00E63ABE" w:rsidRPr="00AD239A">
        <w:rPr>
          <w:rStyle w:val="cosearchterm"/>
          <w:rFonts w:ascii="Garamond" w:eastAsia="Times New Roman" w:hAnsi="Garamond" w:cs="Times New Roman"/>
          <w:szCs w:val="22"/>
        </w:rPr>
        <w:t xml:space="preserve"> either should have been summarily reversed</w:t>
      </w:r>
      <w:r w:rsidR="00221BBB" w:rsidRPr="00AD239A">
        <w:rPr>
          <w:rStyle w:val="cosearchterm"/>
          <w:rFonts w:ascii="Garamond" w:eastAsia="Times New Roman" w:hAnsi="Garamond" w:cs="Times New Roman"/>
          <w:szCs w:val="22"/>
        </w:rPr>
        <w:t xml:space="preserve"> with a per curiam</w:t>
      </w:r>
      <w:r w:rsidR="00E63ABE" w:rsidRPr="00AD239A">
        <w:rPr>
          <w:rStyle w:val="cosearchterm"/>
          <w:rFonts w:ascii="Garamond" w:eastAsia="Times New Roman" w:hAnsi="Garamond" w:cs="Times New Roman"/>
          <w:szCs w:val="22"/>
        </w:rPr>
        <w:t xml:space="preserve">, as the majority did in </w:t>
      </w:r>
      <w:r w:rsidR="00E63ABE" w:rsidRPr="00AD239A">
        <w:rPr>
          <w:rStyle w:val="cosearchterm"/>
          <w:rFonts w:ascii="Garamond" w:eastAsia="Times New Roman" w:hAnsi="Garamond" w:cs="Times New Roman"/>
          <w:i/>
          <w:szCs w:val="22"/>
        </w:rPr>
        <w:t>Tolan</w:t>
      </w:r>
      <w:r w:rsidR="00E63ABE" w:rsidRPr="00AD239A">
        <w:rPr>
          <w:rStyle w:val="cosearchterm"/>
          <w:rFonts w:ascii="Garamond" w:eastAsia="Times New Roman" w:hAnsi="Garamond" w:cs="Times New Roman"/>
          <w:szCs w:val="22"/>
        </w:rPr>
        <w:t>, or cert should have been denied</w:t>
      </w:r>
      <w:r w:rsidR="0051451C" w:rsidRPr="00AD239A">
        <w:rPr>
          <w:rStyle w:val="cosearchterm"/>
          <w:rFonts w:ascii="Garamond" w:eastAsia="Times New Roman" w:hAnsi="Garamond" w:cs="Times New Roman"/>
          <w:szCs w:val="22"/>
        </w:rPr>
        <w:t xml:space="preserve"> in a simple case concerning the sufficiency of the evidence on summary judgment</w:t>
      </w:r>
      <w:r w:rsidR="00E63ABE" w:rsidRPr="00AD239A">
        <w:rPr>
          <w:rStyle w:val="cosearchterm"/>
          <w:rFonts w:ascii="Garamond" w:eastAsia="Times New Roman" w:hAnsi="Garamond" w:cs="Times New Roman"/>
          <w:szCs w:val="22"/>
        </w:rPr>
        <w:t>,</w:t>
      </w:r>
      <w:r w:rsidR="0051451C" w:rsidRPr="00AD239A">
        <w:rPr>
          <w:rStyle w:val="cosearchterm"/>
          <w:rFonts w:ascii="Garamond" w:eastAsia="Times New Roman" w:hAnsi="Garamond" w:cs="Times New Roman"/>
          <w:szCs w:val="22"/>
        </w:rPr>
        <w:t xml:space="preserve"> </w:t>
      </w:r>
      <w:r w:rsidR="00E63ABE" w:rsidRPr="00AD239A">
        <w:rPr>
          <w:rStyle w:val="cosearchterm"/>
          <w:rFonts w:ascii="Garamond" w:eastAsia="Times New Roman" w:hAnsi="Garamond" w:cs="Times New Roman"/>
          <w:szCs w:val="22"/>
        </w:rPr>
        <w:t xml:space="preserve">as Justice Alito argued should have happened in </w:t>
      </w:r>
      <w:r w:rsidR="00E63ABE" w:rsidRPr="00AD239A">
        <w:rPr>
          <w:rStyle w:val="cosearchterm"/>
          <w:rFonts w:ascii="Garamond" w:eastAsia="Times New Roman" w:hAnsi="Garamond" w:cs="Times New Roman"/>
          <w:i/>
          <w:szCs w:val="22"/>
        </w:rPr>
        <w:t>Tolan</w:t>
      </w:r>
      <w:r w:rsidR="00E63ABE" w:rsidRPr="00AD239A">
        <w:rPr>
          <w:rStyle w:val="cosearchterm"/>
          <w:rFonts w:ascii="Garamond" w:eastAsia="Times New Roman" w:hAnsi="Garamond" w:cs="Times New Roman"/>
          <w:szCs w:val="22"/>
        </w:rPr>
        <w:t>.</w:t>
      </w:r>
    </w:p>
    <w:p w14:paraId="6AD7679C" w14:textId="15E79659" w:rsidR="002B71A9" w:rsidRPr="00AD239A" w:rsidRDefault="002B71A9" w:rsidP="00556200">
      <w:pPr>
        <w:ind w:firstLine="360"/>
        <w:rPr>
          <w:rFonts w:ascii="Garamond" w:hAnsi="Garamond"/>
          <w:szCs w:val="22"/>
        </w:rPr>
      </w:pPr>
      <w:r w:rsidRPr="00AD239A">
        <w:rPr>
          <w:rFonts w:ascii="Garamond" w:hAnsi="Garamond"/>
          <w:szCs w:val="22"/>
        </w:rPr>
        <w:t xml:space="preserve">One perhaps could try to use the GVR in </w:t>
      </w:r>
      <w:r w:rsidRPr="00AD239A">
        <w:rPr>
          <w:rFonts w:ascii="Garamond" w:hAnsi="Garamond"/>
          <w:i/>
          <w:szCs w:val="22"/>
        </w:rPr>
        <w:t>Thomas</w:t>
      </w:r>
      <w:r w:rsidRPr="00AD239A">
        <w:rPr>
          <w:rFonts w:ascii="Garamond" w:hAnsi="Garamond"/>
          <w:szCs w:val="22"/>
        </w:rPr>
        <w:t xml:space="preserve"> to give </w:t>
      </w:r>
      <w:r w:rsidRPr="00AD239A">
        <w:rPr>
          <w:rFonts w:ascii="Garamond" w:hAnsi="Garamond"/>
          <w:i/>
          <w:szCs w:val="22"/>
        </w:rPr>
        <w:t>Tolan</w:t>
      </w:r>
      <w:r w:rsidRPr="00AD239A">
        <w:rPr>
          <w:rFonts w:ascii="Garamond" w:hAnsi="Garamond"/>
          <w:szCs w:val="22"/>
        </w:rPr>
        <w:t xml:space="preserve"> more p</w:t>
      </w:r>
      <w:r w:rsidR="00083E73" w:rsidRPr="00AD239A">
        <w:rPr>
          <w:rFonts w:ascii="Garamond" w:hAnsi="Garamond"/>
          <w:szCs w:val="22"/>
        </w:rPr>
        <w:t xml:space="preserve">recedential </w:t>
      </w:r>
      <w:r w:rsidRPr="00AD239A">
        <w:rPr>
          <w:rFonts w:ascii="Garamond" w:hAnsi="Garamond"/>
          <w:szCs w:val="22"/>
        </w:rPr>
        <w:t>heft.</w:t>
      </w:r>
      <w:r w:rsidR="000C14DF" w:rsidRPr="00AD239A">
        <w:rPr>
          <w:rFonts w:ascii="Garamond" w:hAnsi="Garamond"/>
          <w:szCs w:val="22"/>
        </w:rPr>
        <w:t xml:space="preserve"> That is, i</w:t>
      </w:r>
      <w:r w:rsidR="00487646" w:rsidRPr="00AD239A">
        <w:rPr>
          <w:rFonts w:ascii="Garamond" w:hAnsi="Garamond"/>
          <w:szCs w:val="22"/>
        </w:rPr>
        <w:t xml:space="preserve">f </w:t>
      </w:r>
      <w:r w:rsidR="00487646" w:rsidRPr="00AD239A">
        <w:rPr>
          <w:rFonts w:ascii="Garamond" w:hAnsi="Garamond"/>
          <w:i/>
          <w:szCs w:val="22"/>
        </w:rPr>
        <w:t>Tolan</w:t>
      </w:r>
      <w:r w:rsidR="00487646" w:rsidRPr="00AD239A">
        <w:rPr>
          <w:rFonts w:ascii="Garamond" w:hAnsi="Garamond"/>
          <w:szCs w:val="22"/>
        </w:rPr>
        <w:t xml:space="preserve"> qualifies as an intervening development </w:t>
      </w:r>
      <w:r w:rsidR="006652EF" w:rsidRPr="00AD239A">
        <w:rPr>
          <w:rFonts w:ascii="Garamond" w:hAnsi="Garamond"/>
          <w:szCs w:val="22"/>
        </w:rPr>
        <w:t>making a</w:t>
      </w:r>
      <w:r w:rsidR="00487646" w:rsidRPr="00AD239A">
        <w:rPr>
          <w:rFonts w:ascii="Garamond" w:hAnsi="Garamond"/>
          <w:szCs w:val="22"/>
        </w:rPr>
        <w:t xml:space="preserve"> GVR </w:t>
      </w:r>
      <w:r w:rsidR="006652EF" w:rsidRPr="00AD239A">
        <w:rPr>
          <w:rFonts w:ascii="Garamond" w:hAnsi="Garamond"/>
          <w:szCs w:val="22"/>
        </w:rPr>
        <w:t xml:space="preserve">appropriate (and no one dissented from </w:t>
      </w:r>
      <w:r w:rsidR="003C2A38" w:rsidRPr="00AD239A">
        <w:rPr>
          <w:rFonts w:ascii="Garamond" w:hAnsi="Garamond"/>
          <w:szCs w:val="22"/>
        </w:rPr>
        <w:t xml:space="preserve">the order in </w:t>
      </w:r>
      <w:r w:rsidR="003C2A38" w:rsidRPr="00AD239A">
        <w:rPr>
          <w:rFonts w:ascii="Garamond" w:hAnsi="Garamond"/>
          <w:i/>
          <w:szCs w:val="22"/>
        </w:rPr>
        <w:t>Thomas</w:t>
      </w:r>
      <w:r w:rsidR="006652EF" w:rsidRPr="00AD239A">
        <w:rPr>
          <w:rFonts w:ascii="Garamond" w:hAnsi="Garamond"/>
          <w:szCs w:val="22"/>
        </w:rPr>
        <w:t>)</w:t>
      </w:r>
      <w:r w:rsidR="00487646" w:rsidRPr="00AD239A">
        <w:rPr>
          <w:rFonts w:ascii="Garamond" w:hAnsi="Garamond"/>
          <w:szCs w:val="22"/>
        </w:rPr>
        <w:t>, then the decision</w:t>
      </w:r>
      <w:r w:rsidR="006652EF" w:rsidRPr="00AD239A">
        <w:rPr>
          <w:rFonts w:ascii="Garamond" w:hAnsi="Garamond"/>
          <w:szCs w:val="22"/>
        </w:rPr>
        <w:t xml:space="preserve"> </w:t>
      </w:r>
      <w:r w:rsidR="00487646" w:rsidRPr="00AD239A">
        <w:rPr>
          <w:rFonts w:ascii="Garamond" w:hAnsi="Garamond"/>
          <w:szCs w:val="22"/>
        </w:rPr>
        <w:t xml:space="preserve">might function as </w:t>
      </w:r>
      <w:r w:rsidR="00BB01C6" w:rsidRPr="00AD239A">
        <w:rPr>
          <w:rFonts w:ascii="Garamond" w:hAnsi="Garamond"/>
          <w:szCs w:val="22"/>
        </w:rPr>
        <w:t>something</w:t>
      </w:r>
      <w:r w:rsidR="00487646" w:rsidRPr="00AD239A">
        <w:rPr>
          <w:rFonts w:ascii="Garamond" w:hAnsi="Garamond"/>
          <w:szCs w:val="22"/>
        </w:rPr>
        <w:t xml:space="preserve"> th</w:t>
      </w:r>
      <w:r w:rsidR="001A7E7C" w:rsidRPr="00AD239A">
        <w:rPr>
          <w:rFonts w:ascii="Garamond" w:hAnsi="Garamond"/>
          <w:szCs w:val="22"/>
        </w:rPr>
        <w:t>an an ordinary summary reversal, but instead as a fulle</w:t>
      </w:r>
      <w:r w:rsidR="006652EF" w:rsidRPr="00AD239A">
        <w:rPr>
          <w:rFonts w:ascii="Garamond" w:hAnsi="Garamond"/>
          <w:szCs w:val="22"/>
        </w:rPr>
        <w:t xml:space="preserve">r, even if per curiam, </w:t>
      </w:r>
      <w:r w:rsidR="000C14DF" w:rsidRPr="00AD239A">
        <w:rPr>
          <w:rFonts w:ascii="Garamond" w:hAnsi="Garamond"/>
          <w:szCs w:val="22"/>
        </w:rPr>
        <w:t>statement on the proper scope of</w:t>
      </w:r>
      <w:r w:rsidR="00864108" w:rsidRPr="00AD239A">
        <w:rPr>
          <w:rFonts w:ascii="Garamond" w:hAnsi="Garamond"/>
          <w:szCs w:val="22"/>
        </w:rPr>
        <w:t>, and approach to,</w:t>
      </w:r>
      <w:r w:rsidR="000C14DF" w:rsidRPr="00AD239A">
        <w:rPr>
          <w:rFonts w:ascii="Garamond" w:hAnsi="Garamond"/>
          <w:szCs w:val="22"/>
        </w:rPr>
        <w:t xml:space="preserve"> summary judgment.</w:t>
      </w:r>
    </w:p>
    <w:p w14:paraId="7D365A83" w14:textId="77777777" w:rsidR="001F2D13" w:rsidRPr="00AD239A" w:rsidRDefault="001F2D13" w:rsidP="00556200">
      <w:pPr>
        <w:ind w:firstLine="360"/>
        <w:rPr>
          <w:rFonts w:ascii="Garamond" w:hAnsi="Garamond"/>
          <w:szCs w:val="22"/>
        </w:rPr>
      </w:pPr>
    </w:p>
    <w:p w14:paraId="293B4E79" w14:textId="295CFC6B" w:rsidR="001F2D13" w:rsidRPr="00AD239A" w:rsidRDefault="001F2D13" w:rsidP="001F2D13">
      <w:pPr>
        <w:rPr>
          <w:rFonts w:ascii="Garamond" w:hAnsi="Garamond"/>
          <w:szCs w:val="22"/>
        </w:rPr>
      </w:pPr>
      <w:r w:rsidRPr="00AD239A">
        <w:rPr>
          <w:rFonts w:ascii="Garamond" w:hAnsi="Garamond"/>
          <w:b/>
          <w:szCs w:val="22"/>
        </w:rPr>
        <w:t xml:space="preserve">III. </w:t>
      </w:r>
      <w:r w:rsidR="00D21528" w:rsidRPr="00AD239A">
        <w:rPr>
          <w:rFonts w:ascii="Garamond" w:hAnsi="Garamond"/>
          <w:b/>
          <w:szCs w:val="22"/>
        </w:rPr>
        <w:t>Going Forward on</w:t>
      </w:r>
      <w:r w:rsidRPr="00AD239A">
        <w:rPr>
          <w:rFonts w:ascii="Garamond" w:hAnsi="Garamond"/>
          <w:b/>
          <w:szCs w:val="22"/>
        </w:rPr>
        <w:t xml:space="preserve"> Summary Judgment</w:t>
      </w:r>
    </w:p>
    <w:p w14:paraId="633E4D99" w14:textId="77777777" w:rsidR="001F2D13" w:rsidRPr="00AD239A" w:rsidRDefault="001F2D13" w:rsidP="00556200">
      <w:pPr>
        <w:ind w:firstLine="360"/>
        <w:rPr>
          <w:rFonts w:ascii="Garamond" w:hAnsi="Garamond"/>
          <w:szCs w:val="22"/>
        </w:rPr>
      </w:pPr>
    </w:p>
    <w:p w14:paraId="6833D805" w14:textId="66D8BCB2" w:rsidR="001F2D13" w:rsidRPr="00AD239A" w:rsidRDefault="00F04A7E" w:rsidP="00556200">
      <w:pPr>
        <w:ind w:firstLine="360"/>
        <w:rPr>
          <w:rFonts w:ascii="Garamond" w:hAnsi="Garamond"/>
          <w:szCs w:val="22"/>
        </w:rPr>
      </w:pPr>
      <w:r w:rsidRPr="00AD239A">
        <w:rPr>
          <w:rFonts w:ascii="Garamond" w:hAnsi="Garamond"/>
          <w:szCs w:val="22"/>
        </w:rPr>
        <w:t>The remaining question is the take-away from</w:t>
      </w:r>
      <w:r w:rsidR="0062433E" w:rsidRPr="00AD239A">
        <w:rPr>
          <w:rFonts w:ascii="Garamond" w:hAnsi="Garamond"/>
          <w:szCs w:val="22"/>
        </w:rPr>
        <w:t xml:space="preserve"> all</w:t>
      </w:r>
      <w:r w:rsidRPr="00AD239A">
        <w:rPr>
          <w:rFonts w:ascii="Garamond" w:hAnsi="Garamond"/>
          <w:szCs w:val="22"/>
        </w:rPr>
        <w:t xml:space="preserve"> the Supreme Court’s summary judgment</w:t>
      </w:r>
      <w:r w:rsidR="00641E90" w:rsidRPr="00AD239A">
        <w:rPr>
          <w:rFonts w:ascii="Garamond" w:hAnsi="Garamond"/>
          <w:szCs w:val="22"/>
        </w:rPr>
        <w:t xml:space="preserve"> activity this past term</w:t>
      </w:r>
      <w:r w:rsidRPr="00AD239A">
        <w:rPr>
          <w:rFonts w:ascii="Garamond" w:hAnsi="Garamond"/>
          <w:szCs w:val="22"/>
        </w:rPr>
        <w:t xml:space="preserve">, particularly the different attitudes towards summary judgment reflected in </w:t>
      </w:r>
      <w:r w:rsidRPr="00AD239A">
        <w:rPr>
          <w:rFonts w:ascii="Garamond" w:hAnsi="Garamond"/>
          <w:i/>
          <w:szCs w:val="22"/>
        </w:rPr>
        <w:t>Plumhoff</w:t>
      </w:r>
      <w:r w:rsidRPr="00AD239A">
        <w:rPr>
          <w:rFonts w:ascii="Garamond" w:hAnsi="Garamond"/>
          <w:szCs w:val="22"/>
        </w:rPr>
        <w:t xml:space="preserve"> on the one hand and </w:t>
      </w:r>
      <w:r w:rsidRPr="00AD239A">
        <w:rPr>
          <w:rFonts w:ascii="Garamond" w:hAnsi="Garamond"/>
          <w:i/>
          <w:szCs w:val="22"/>
        </w:rPr>
        <w:t>Tolan</w:t>
      </w:r>
      <w:r w:rsidRPr="00AD239A">
        <w:rPr>
          <w:rFonts w:ascii="Garamond" w:hAnsi="Garamond"/>
          <w:szCs w:val="22"/>
        </w:rPr>
        <w:t xml:space="preserve"> and </w:t>
      </w:r>
      <w:r w:rsidRPr="00AD239A">
        <w:rPr>
          <w:rFonts w:ascii="Garamond" w:hAnsi="Garamond"/>
          <w:i/>
          <w:szCs w:val="22"/>
        </w:rPr>
        <w:t>Thomas</w:t>
      </w:r>
      <w:r w:rsidRPr="00AD239A">
        <w:rPr>
          <w:rFonts w:ascii="Garamond" w:hAnsi="Garamond"/>
          <w:szCs w:val="22"/>
        </w:rPr>
        <w:t xml:space="preserve"> on the other.</w:t>
      </w:r>
    </w:p>
    <w:p w14:paraId="5CD2E68B" w14:textId="7E9CDF7D" w:rsidR="0092666D" w:rsidRPr="00AD239A" w:rsidRDefault="00F04A7E" w:rsidP="00556200">
      <w:pPr>
        <w:ind w:firstLine="360"/>
        <w:rPr>
          <w:rFonts w:ascii="Garamond" w:hAnsi="Garamond"/>
          <w:szCs w:val="22"/>
        </w:rPr>
      </w:pPr>
      <w:r w:rsidRPr="00AD239A">
        <w:rPr>
          <w:rFonts w:ascii="Garamond" w:hAnsi="Garamond"/>
          <w:szCs w:val="22"/>
        </w:rPr>
        <w:t xml:space="preserve">The easy, and unfortunate, answer is that </w:t>
      </w:r>
      <w:r w:rsidRPr="00AD239A">
        <w:rPr>
          <w:rFonts w:ascii="Garamond" w:hAnsi="Garamond"/>
          <w:i/>
          <w:szCs w:val="22"/>
        </w:rPr>
        <w:t>Plumhoff</w:t>
      </w:r>
      <w:r w:rsidRPr="00AD239A">
        <w:rPr>
          <w:rFonts w:ascii="Garamond" w:hAnsi="Garamond"/>
          <w:szCs w:val="22"/>
        </w:rPr>
        <w:t xml:space="preserve"> was a video case and </w:t>
      </w:r>
      <w:r w:rsidRPr="00AD239A">
        <w:rPr>
          <w:rFonts w:ascii="Garamond" w:hAnsi="Garamond"/>
          <w:i/>
          <w:szCs w:val="22"/>
        </w:rPr>
        <w:t>Tolan</w:t>
      </w:r>
      <w:r w:rsidRPr="00AD239A">
        <w:rPr>
          <w:rFonts w:ascii="Garamond" w:hAnsi="Garamond"/>
          <w:szCs w:val="22"/>
        </w:rPr>
        <w:t xml:space="preserve"> was not. </w:t>
      </w:r>
      <w:r w:rsidR="003E0D67" w:rsidRPr="00AD239A">
        <w:rPr>
          <w:rFonts w:ascii="Garamond" w:hAnsi="Garamond"/>
          <w:szCs w:val="22"/>
        </w:rPr>
        <w:t>It may be that adding</w:t>
      </w:r>
      <w:r w:rsidRPr="00AD239A">
        <w:rPr>
          <w:rFonts w:ascii="Garamond" w:hAnsi="Garamond"/>
          <w:szCs w:val="22"/>
        </w:rPr>
        <w:t xml:space="preserve"> video to the record in </w:t>
      </w:r>
      <w:r w:rsidRPr="00AD239A">
        <w:rPr>
          <w:rFonts w:ascii="Garamond" w:hAnsi="Garamond"/>
          <w:i/>
          <w:szCs w:val="22"/>
        </w:rPr>
        <w:t>Tolan</w:t>
      </w:r>
      <w:r w:rsidRPr="00AD239A">
        <w:rPr>
          <w:rFonts w:ascii="Garamond" w:hAnsi="Garamond"/>
          <w:szCs w:val="22"/>
        </w:rPr>
        <w:t xml:space="preserve"> </w:t>
      </w:r>
      <w:r w:rsidR="00092F93" w:rsidRPr="00AD239A">
        <w:rPr>
          <w:rFonts w:ascii="Garamond" w:hAnsi="Garamond"/>
          <w:szCs w:val="22"/>
        </w:rPr>
        <w:t>would</w:t>
      </w:r>
      <w:r w:rsidRPr="00AD239A">
        <w:rPr>
          <w:rFonts w:ascii="Garamond" w:hAnsi="Garamond"/>
          <w:szCs w:val="22"/>
        </w:rPr>
        <w:t xml:space="preserve"> have fundamentally changed the Court’s approach to the case. Had there been a dashboard camera filming th</w:t>
      </w:r>
      <w:r w:rsidR="003E0D67" w:rsidRPr="00AD239A">
        <w:rPr>
          <w:rFonts w:ascii="Garamond" w:hAnsi="Garamond"/>
          <w:szCs w:val="22"/>
        </w:rPr>
        <w:t>e events in front of the Tolan</w:t>
      </w:r>
      <w:r w:rsidRPr="00AD239A">
        <w:rPr>
          <w:rFonts w:ascii="Garamond" w:hAnsi="Garamond"/>
          <w:szCs w:val="22"/>
        </w:rPr>
        <w:t xml:space="preserve"> house, the Court might have watched the video and decided for itself that 1) the porch and front of the house were “dimly-lit,” 2) Tolan’s mother </w:t>
      </w:r>
      <w:r w:rsidR="009A33F1" w:rsidRPr="00AD239A">
        <w:rPr>
          <w:rFonts w:ascii="Garamond" w:hAnsi="Garamond"/>
          <w:szCs w:val="22"/>
        </w:rPr>
        <w:t>was loud and agitated and ignored repeated orders to calm down</w:t>
      </w:r>
      <w:r w:rsidRPr="00AD239A">
        <w:rPr>
          <w:rFonts w:ascii="Garamond" w:hAnsi="Garamond"/>
          <w:szCs w:val="22"/>
        </w:rPr>
        <w:t>, 3) Tolan was shouting and being verbally threatening in telling Cotton to get his “fucking hands” off Tolan’s mother, and 4) Tolan was moving towards Cotton.</w:t>
      </w:r>
      <w:r w:rsidR="000809EE" w:rsidRPr="00AD239A">
        <w:rPr>
          <w:rStyle w:val="FootnoteReference"/>
          <w:rFonts w:ascii="Garamond" w:hAnsi="Garamond"/>
          <w:szCs w:val="22"/>
        </w:rPr>
        <w:footnoteReference w:id="58"/>
      </w:r>
      <w:r w:rsidRPr="00AD239A">
        <w:rPr>
          <w:rFonts w:ascii="Garamond" w:hAnsi="Garamond"/>
          <w:szCs w:val="22"/>
        </w:rPr>
        <w:t xml:space="preserve"> And the </w:t>
      </w:r>
      <w:r w:rsidR="00CC02E7" w:rsidRPr="00AD239A">
        <w:rPr>
          <w:rFonts w:ascii="Garamond" w:hAnsi="Garamond"/>
          <w:szCs w:val="22"/>
        </w:rPr>
        <w:t xml:space="preserve">contrary </w:t>
      </w:r>
      <w:r w:rsidRPr="00AD239A">
        <w:rPr>
          <w:rFonts w:ascii="Garamond" w:hAnsi="Garamond"/>
          <w:szCs w:val="22"/>
        </w:rPr>
        <w:t xml:space="preserve">testimony of Tolan and his </w:t>
      </w:r>
      <w:r w:rsidR="00E0568E" w:rsidRPr="00AD239A">
        <w:rPr>
          <w:rFonts w:ascii="Garamond" w:hAnsi="Garamond"/>
          <w:szCs w:val="22"/>
        </w:rPr>
        <w:t xml:space="preserve">parents </w:t>
      </w:r>
      <w:r w:rsidRPr="00AD239A">
        <w:rPr>
          <w:rFonts w:ascii="Garamond" w:hAnsi="Garamond"/>
          <w:szCs w:val="22"/>
        </w:rPr>
        <w:t xml:space="preserve">on each of those points would have been ignored because “blatantly </w:t>
      </w:r>
      <w:r w:rsidR="00700888" w:rsidRPr="00AD239A">
        <w:rPr>
          <w:rFonts w:ascii="Garamond" w:hAnsi="Garamond"/>
          <w:szCs w:val="22"/>
        </w:rPr>
        <w:t>contradicted</w:t>
      </w:r>
      <w:r w:rsidRPr="00AD239A">
        <w:rPr>
          <w:rFonts w:ascii="Garamond" w:hAnsi="Garamond"/>
          <w:szCs w:val="22"/>
        </w:rPr>
        <w:t>” by the video</w:t>
      </w:r>
      <w:r w:rsidR="00EE0F7C" w:rsidRPr="00AD239A">
        <w:rPr>
          <w:rFonts w:ascii="Garamond" w:hAnsi="Garamond"/>
          <w:szCs w:val="22"/>
        </w:rPr>
        <w:t xml:space="preserve"> and the inferences the justices drew</w:t>
      </w:r>
      <w:r w:rsidR="000E6798" w:rsidRPr="00AD239A">
        <w:rPr>
          <w:rFonts w:ascii="Garamond" w:hAnsi="Garamond"/>
          <w:szCs w:val="22"/>
        </w:rPr>
        <w:t xml:space="preserve"> for themselves</w:t>
      </w:r>
      <w:r w:rsidR="00EE0F7C" w:rsidRPr="00AD239A">
        <w:rPr>
          <w:rFonts w:ascii="Garamond" w:hAnsi="Garamond"/>
          <w:szCs w:val="22"/>
        </w:rPr>
        <w:t xml:space="preserve"> from that video</w:t>
      </w:r>
      <w:r w:rsidRPr="00AD239A">
        <w:rPr>
          <w:rFonts w:ascii="Garamond" w:hAnsi="Garamond"/>
          <w:szCs w:val="22"/>
        </w:rPr>
        <w:t xml:space="preserve">. </w:t>
      </w:r>
      <w:r w:rsidRPr="00AD239A">
        <w:rPr>
          <w:rFonts w:ascii="Garamond" w:hAnsi="Garamond"/>
          <w:i/>
          <w:szCs w:val="22"/>
        </w:rPr>
        <w:t>Plumhoff</w:t>
      </w:r>
      <w:r w:rsidRPr="00AD239A">
        <w:rPr>
          <w:rFonts w:ascii="Garamond" w:hAnsi="Garamond"/>
          <w:szCs w:val="22"/>
        </w:rPr>
        <w:t xml:space="preserve">, like </w:t>
      </w:r>
      <w:r w:rsidRPr="00AD239A">
        <w:rPr>
          <w:rFonts w:ascii="Garamond" w:hAnsi="Garamond"/>
          <w:i/>
          <w:szCs w:val="22"/>
        </w:rPr>
        <w:t>Scott</w:t>
      </w:r>
      <w:r w:rsidRPr="00AD239A">
        <w:rPr>
          <w:rFonts w:ascii="Garamond" w:hAnsi="Garamond"/>
          <w:szCs w:val="22"/>
        </w:rPr>
        <w:t xml:space="preserve">, reflects the irresistible urge to overvalue video on summary judgment. There is every reason to think the same tendency would have altered the outcome in </w:t>
      </w:r>
      <w:r w:rsidRPr="00AD239A">
        <w:rPr>
          <w:rFonts w:ascii="Garamond" w:hAnsi="Garamond"/>
          <w:i/>
          <w:szCs w:val="22"/>
        </w:rPr>
        <w:t>Tolan</w:t>
      </w:r>
      <w:r w:rsidRPr="00AD239A">
        <w:rPr>
          <w:rFonts w:ascii="Garamond" w:hAnsi="Garamond"/>
          <w:szCs w:val="22"/>
        </w:rPr>
        <w:t>.</w:t>
      </w:r>
    </w:p>
    <w:p w14:paraId="3D71FB38" w14:textId="1BC6981B" w:rsidR="00F04A7E" w:rsidRPr="009317A7" w:rsidRDefault="00F04A7E" w:rsidP="00CC000C">
      <w:pPr>
        <w:ind w:firstLine="360"/>
        <w:rPr>
          <w:rFonts w:ascii="Garamond" w:hAnsi="Garamond"/>
          <w:szCs w:val="22"/>
        </w:rPr>
      </w:pPr>
      <w:r w:rsidRPr="00AD239A">
        <w:rPr>
          <w:rFonts w:ascii="Garamond" w:hAnsi="Garamond"/>
          <w:szCs w:val="22"/>
        </w:rPr>
        <w:t xml:space="preserve">A second possibility is that </w:t>
      </w:r>
      <w:r w:rsidRPr="00AD239A">
        <w:rPr>
          <w:rFonts w:ascii="Garamond" w:hAnsi="Garamond"/>
          <w:i/>
          <w:szCs w:val="22"/>
        </w:rPr>
        <w:t>Plumhoff</w:t>
      </w:r>
      <w:r w:rsidRPr="00AD239A">
        <w:rPr>
          <w:rFonts w:ascii="Garamond" w:hAnsi="Garamond"/>
          <w:szCs w:val="22"/>
        </w:rPr>
        <w:t xml:space="preserve">, as the heir to </w:t>
      </w:r>
      <w:r w:rsidRPr="00AD239A">
        <w:rPr>
          <w:rFonts w:ascii="Garamond" w:hAnsi="Garamond"/>
          <w:i/>
          <w:szCs w:val="22"/>
        </w:rPr>
        <w:t>Scott</w:t>
      </w:r>
      <w:r w:rsidRPr="00AD239A">
        <w:rPr>
          <w:rFonts w:ascii="Garamond" w:hAnsi="Garamond"/>
          <w:szCs w:val="22"/>
        </w:rPr>
        <w:t xml:space="preserve">, remains the analytical norm, with </w:t>
      </w:r>
      <w:r w:rsidRPr="00AD239A">
        <w:rPr>
          <w:rFonts w:ascii="Garamond" w:hAnsi="Garamond"/>
          <w:i/>
          <w:szCs w:val="22"/>
        </w:rPr>
        <w:t>Tolan</w:t>
      </w:r>
      <w:r w:rsidRPr="00AD239A">
        <w:rPr>
          <w:rFonts w:ascii="Garamond" w:hAnsi="Garamond"/>
          <w:szCs w:val="22"/>
        </w:rPr>
        <w:t xml:space="preserve"> and </w:t>
      </w:r>
      <w:r w:rsidRPr="00AD239A">
        <w:rPr>
          <w:rFonts w:ascii="Garamond" w:hAnsi="Garamond"/>
          <w:i/>
          <w:szCs w:val="22"/>
        </w:rPr>
        <w:t>Thomas</w:t>
      </w:r>
      <w:r w:rsidRPr="00AD239A">
        <w:rPr>
          <w:rFonts w:ascii="Garamond" w:hAnsi="Garamond"/>
          <w:szCs w:val="22"/>
        </w:rPr>
        <w:t xml:space="preserve"> as </w:t>
      </w:r>
      <w:r w:rsidR="00C943D4" w:rsidRPr="00AD239A">
        <w:rPr>
          <w:rFonts w:ascii="Garamond" w:hAnsi="Garamond"/>
          <w:szCs w:val="22"/>
        </w:rPr>
        <w:t>outliers</w:t>
      </w:r>
      <w:r w:rsidRPr="00AD239A">
        <w:rPr>
          <w:rFonts w:ascii="Garamond" w:hAnsi="Garamond"/>
          <w:szCs w:val="22"/>
        </w:rPr>
        <w:t xml:space="preserve">. </w:t>
      </w:r>
      <w:r w:rsidRPr="00AD239A">
        <w:rPr>
          <w:rFonts w:ascii="Garamond" w:hAnsi="Garamond"/>
          <w:i/>
          <w:szCs w:val="22"/>
        </w:rPr>
        <w:t>Plumhoff</w:t>
      </w:r>
      <w:r w:rsidRPr="00AD239A">
        <w:rPr>
          <w:rFonts w:ascii="Garamond" w:hAnsi="Garamond"/>
          <w:szCs w:val="22"/>
        </w:rPr>
        <w:t xml:space="preserve"> better fits with</w:t>
      </w:r>
      <w:r w:rsidR="00DE2091" w:rsidRPr="00AD239A">
        <w:rPr>
          <w:rFonts w:ascii="Garamond" w:hAnsi="Garamond"/>
          <w:szCs w:val="22"/>
        </w:rPr>
        <w:t xml:space="preserve"> the</w:t>
      </w:r>
      <w:r w:rsidR="00CC000C" w:rsidRPr="00AD239A">
        <w:rPr>
          <w:rFonts w:ascii="Garamond" w:hAnsi="Garamond"/>
          <w:szCs w:val="22"/>
        </w:rPr>
        <w:t xml:space="preserve"> one analogous from the term</w:t>
      </w:r>
      <w:r w:rsidR="00DE2091" w:rsidRPr="00AD239A">
        <w:rPr>
          <w:rFonts w:ascii="Garamond" w:hAnsi="Garamond"/>
          <w:szCs w:val="22"/>
        </w:rPr>
        <w:t xml:space="preserve"> involving pretrial disposition of civil rights cases.</w:t>
      </w:r>
      <w:r w:rsidR="00DE2091" w:rsidRPr="00AD239A">
        <w:rPr>
          <w:rStyle w:val="FootnoteReference"/>
          <w:rFonts w:ascii="Garamond" w:hAnsi="Garamond"/>
          <w:szCs w:val="22"/>
        </w:rPr>
        <w:footnoteReference w:id="59"/>
      </w:r>
      <w:r w:rsidRPr="00AD239A">
        <w:rPr>
          <w:rFonts w:ascii="Garamond" w:hAnsi="Garamond"/>
          <w:szCs w:val="22"/>
        </w:rPr>
        <w:t xml:space="preserve"> Th</w:t>
      </w:r>
      <w:r w:rsidR="002C289F" w:rsidRPr="00AD239A">
        <w:rPr>
          <w:rFonts w:ascii="Garamond" w:hAnsi="Garamond"/>
          <w:szCs w:val="22"/>
        </w:rPr>
        <w:t xml:space="preserve">is </w:t>
      </w:r>
      <w:r w:rsidR="00A96E54" w:rsidRPr="00AD239A">
        <w:rPr>
          <w:rFonts w:ascii="Garamond" w:hAnsi="Garamond"/>
          <w:szCs w:val="22"/>
        </w:rPr>
        <w:t>conclusion</w:t>
      </w:r>
      <w:r w:rsidR="00471B4B" w:rsidRPr="00AD239A">
        <w:rPr>
          <w:rFonts w:ascii="Garamond" w:hAnsi="Garamond"/>
          <w:szCs w:val="22"/>
        </w:rPr>
        <w:t xml:space="preserve"> is enhanced</w:t>
      </w:r>
      <w:r w:rsidRPr="00AD239A">
        <w:rPr>
          <w:rFonts w:ascii="Garamond" w:hAnsi="Garamond"/>
          <w:szCs w:val="22"/>
        </w:rPr>
        <w:t xml:space="preserve"> by </w:t>
      </w:r>
      <w:r w:rsidR="00471B4B" w:rsidRPr="00AD239A">
        <w:rPr>
          <w:rFonts w:ascii="Garamond" w:hAnsi="Garamond"/>
          <w:szCs w:val="22"/>
        </w:rPr>
        <w:t>the differences in</w:t>
      </w:r>
      <w:r w:rsidRPr="00AD239A">
        <w:rPr>
          <w:rFonts w:ascii="Garamond" w:hAnsi="Garamond"/>
          <w:szCs w:val="22"/>
        </w:rPr>
        <w:t xml:space="preserve"> precedential value </w:t>
      </w:r>
      <w:r w:rsidR="00471B4B" w:rsidRPr="00AD239A">
        <w:rPr>
          <w:rFonts w:ascii="Garamond" w:hAnsi="Garamond"/>
          <w:szCs w:val="22"/>
        </w:rPr>
        <w:t>for</w:t>
      </w:r>
      <w:r w:rsidRPr="00AD239A">
        <w:rPr>
          <w:rFonts w:ascii="Garamond" w:hAnsi="Garamond"/>
          <w:szCs w:val="22"/>
        </w:rPr>
        <w:t xml:space="preserve"> each decision</w:t>
      </w:r>
      <w:r w:rsidR="001169A9" w:rsidRPr="00AD239A">
        <w:rPr>
          <w:rFonts w:ascii="Garamond" w:hAnsi="Garamond"/>
          <w:szCs w:val="22"/>
        </w:rPr>
        <w:t xml:space="preserve">, even </w:t>
      </w:r>
      <w:r w:rsidR="00EA037A" w:rsidRPr="00AD239A">
        <w:rPr>
          <w:rFonts w:ascii="Garamond" w:hAnsi="Garamond"/>
          <w:szCs w:val="22"/>
        </w:rPr>
        <w:t>granting some</w:t>
      </w:r>
      <w:r w:rsidR="001169A9" w:rsidRPr="00AD239A">
        <w:rPr>
          <w:rFonts w:ascii="Garamond" w:hAnsi="Garamond"/>
          <w:szCs w:val="22"/>
        </w:rPr>
        <w:t xml:space="preserve"> </w:t>
      </w:r>
      <w:r w:rsidR="00C616CF" w:rsidRPr="00AD239A">
        <w:rPr>
          <w:rFonts w:ascii="Garamond" w:hAnsi="Garamond"/>
          <w:szCs w:val="22"/>
        </w:rPr>
        <w:t>weight</w:t>
      </w:r>
      <w:r w:rsidR="001169A9" w:rsidRPr="00AD239A">
        <w:rPr>
          <w:rFonts w:ascii="Garamond" w:hAnsi="Garamond"/>
          <w:szCs w:val="22"/>
        </w:rPr>
        <w:t xml:space="preserve"> to the </w:t>
      </w:r>
      <w:r w:rsidR="001169A9" w:rsidRPr="00AD239A">
        <w:rPr>
          <w:rFonts w:ascii="Garamond" w:hAnsi="Garamond"/>
          <w:i/>
          <w:szCs w:val="22"/>
        </w:rPr>
        <w:t>Tolan</w:t>
      </w:r>
      <w:r w:rsidR="001169A9" w:rsidRPr="00AD239A">
        <w:rPr>
          <w:rFonts w:ascii="Garamond" w:hAnsi="Garamond"/>
          <w:szCs w:val="22"/>
        </w:rPr>
        <w:t xml:space="preserve"> per curiam</w:t>
      </w:r>
      <w:r w:rsidR="00785E3B" w:rsidRPr="00AD239A">
        <w:rPr>
          <w:rFonts w:ascii="Garamond" w:hAnsi="Garamond"/>
          <w:szCs w:val="22"/>
        </w:rPr>
        <w:t xml:space="preserve">--the decision granting summary judgment against the plaintiff received plenary consideration and a fully precedential opinion, the decisions holding summary judgment improper received less thorough, </w:t>
      </w:r>
      <w:r w:rsidR="00064282" w:rsidRPr="00AD239A">
        <w:rPr>
          <w:rFonts w:ascii="Garamond" w:hAnsi="Garamond"/>
          <w:szCs w:val="22"/>
        </w:rPr>
        <w:t>less forceful</w:t>
      </w:r>
      <w:r w:rsidR="00785E3B" w:rsidRPr="00AD239A">
        <w:rPr>
          <w:rFonts w:ascii="Garamond" w:hAnsi="Garamond"/>
          <w:szCs w:val="22"/>
        </w:rPr>
        <w:t>,</w:t>
      </w:r>
      <w:r w:rsidR="00064282" w:rsidRPr="00AD239A">
        <w:rPr>
          <w:rFonts w:ascii="Garamond" w:hAnsi="Garamond"/>
          <w:szCs w:val="22"/>
        </w:rPr>
        <w:t xml:space="preserve"> and more confused</w:t>
      </w:r>
      <w:r w:rsidR="00785E3B" w:rsidRPr="00AD239A">
        <w:rPr>
          <w:rFonts w:ascii="Garamond" w:hAnsi="Garamond"/>
          <w:szCs w:val="22"/>
        </w:rPr>
        <w:t xml:space="preserve"> treatment</w:t>
      </w:r>
      <w:r w:rsidRPr="00AD239A">
        <w:rPr>
          <w:rFonts w:ascii="Garamond" w:hAnsi="Garamond"/>
          <w:szCs w:val="22"/>
        </w:rPr>
        <w:t xml:space="preserve">. Moreover, the </w:t>
      </w:r>
      <w:r w:rsidR="00AA5DED" w:rsidRPr="00AD239A">
        <w:rPr>
          <w:rFonts w:ascii="Garamond" w:hAnsi="Garamond"/>
          <w:szCs w:val="22"/>
        </w:rPr>
        <w:t xml:space="preserve">long-term </w:t>
      </w:r>
      <w:r w:rsidRPr="00AD239A">
        <w:rPr>
          <w:rFonts w:ascii="Garamond" w:hAnsi="Garamond"/>
          <w:szCs w:val="22"/>
        </w:rPr>
        <w:t>consequence</w:t>
      </w:r>
      <w:r w:rsidR="00F74839" w:rsidRPr="00AD239A">
        <w:rPr>
          <w:rFonts w:ascii="Garamond" w:hAnsi="Garamond"/>
          <w:szCs w:val="22"/>
        </w:rPr>
        <w:t xml:space="preserve"> of</w:t>
      </w:r>
      <w:r w:rsidRPr="00AD239A">
        <w:rPr>
          <w:rFonts w:ascii="Garamond" w:hAnsi="Garamond"/>
          <w:szCs w:val="22"/>
        </w:rPr>
        <w:t xml:space="preserve"> both </w:t>
      </w:r>
      <w:r w:rsidRPr="00AD239A">
        <w:rPr>
          <w:rFonts w:ascii="Garamond" w:hAnsi="Garamond"/>
          <w:i/>
          <w:szCs w:val="22"/>
        </w:rPr>
        <w:t>Tolan</w:t>
      </w:r>
      <w:r w:rsidRPr="00AD239A">
        <w:rPr>
          <w:rFonts w:ascii="Garamond" w:hAnsi="Garamond"/>
          <w:szCs w:val="22"/>
        </w:rPr>
        <w:t xml:space="preserve"> and </w:t>
      </w:r>
      <w:r w:rsidRPr="00AD239A">
        <w:rPr>
          <w:rFonts w:ascii="Garamond" w:hAnsi="Garamond"/>
          <w:i/>
          <w:szCs w:val="22"/>
        </w:rPr>
        <w:t>Thomas</w:t>
      </w:r>
      <w:r w:rsidRPr="00AD239A">
        <w:rPr>
          <w:rFonts w:ascii="Garamond" w:hAnsi="Garamond"/>
          <w:szCs w:val="22"/>
        </w:rPr>
        <w:t xml:space="preserve"> depends not on the Supreme Court, but on what the </w:t>
      </w:r>
      <w:r w:rsidR="003A16B0" w:rsidRPr="00AD239A">
        <w:rPr>
          <w:rFonts w:ascii="Garamond" w:hAnsi="Garamond"/>
          <w:szCs w:val="22"/>
        </w:rPr>
        <w:t>lower courts</w:t>
      </w:r>
      <w:r w:rsidRPr="00AD239A">
        <w:rPr>
          <w:rFonts w:ascii="Garamond" w:hAnsi="Garamond"/>
          <w:szCs w:val="22"/>
        </w:rPr>
        <w:t xml:space="preserve"> do </w:t>
      </w:r>
      <w:r w:rsidR="005D35A7" w:rsidRPr="00AD239A">
        <w:rPr>
          <w:rFonts w:ascii="Garamond" w:hAnsi="Garamond"/>
          <w:szCs w:val="22"/>
        </w:rPr>
        <w:t>with the cases on remand.</w:t>
      </w:r>
      <w:r w:rsidR="00EE252D">
        <w:rPr>
          <w:rFonts w:ascii="Garamond" w:hAnsi="Garamond"/>
          <w:szCs w:val="22"/>
        </w:rPr>
        <w:t xml:space="preserve"> In </w:t>
      </w:r>
      <w:r w:rsidR="00EE252D">
        <w:rPr>
          <w:rFonts w:ascii="Garamond" w:hAnsi="Garamond"/>
          <w:i/>
          <w:szCs w:val="22"/>
        </w:rPr>
        <w:t>Tolan</w:t>
      </w:r>
      <w:r w:rsidR="00EE252D" w:rsidRPr="00EE252D">
        <w:rPr>
          <w:rFonts w:ascii="Garamond" w:hAnsi="Garamond"/>
          <w:szCs w:val="22"/>
        </w:rPr>
        <w:t xml:space="preserve">, </w:t>
      </w:r>
      <w:r w:rsidR="00EE252D">
        <w:rPr>
          <w:rFonts w:ascii="Garamond" w:hAnsi="Garamond"/>
          <w:szCs w:val="22"/>
        </w:rPr>
        <w:t xml:space="preserve">Fifth Circuit held that </w:t>
      </w:r>
      <w:r w:rsidR="009317A7">
        <w:rPr>
          <w:rFonts w:ascii="Garamond" w:hAnsi="Garamond"/>
          <w:szCs w:val="22"/>
        </w:rPr>
        <w:t>the defendant was not entitled to summary judgment on qualified immunity grounds and remanded to the district court, perhaps for trial or settlement.</w:t>
      </w:r>
      <w:r w:rsidR="003A16B0" w:rsidRPr="00AD239A">
        <w:rPr>
          <w:rStyle w:val="FootnoteReference"/>
          <w:rFonts w:ascii="Garamond" w:hAnsi="Garamond"/>
          <w:szCs w:val="22"/>
        </w:rPr>
        <w:footnoteReference w:id="60"/>
      </w:r>
      <w:r w:rsidR="009317A7">
        <w:rPr>
          <w:rFonts w:ascii="Garamond" w:hAnsi="Garamond"/>
          <w:szCs w:val="22"/>
        </w:rPr>
        <w:t xml:space="preserve"> In </w:t>
      </w:r>
      <w:r w:rsidR="009317A7">
        <w:rPr>
          <w:rFonts w:ascii="Garamond" w:hAnsi="Garamond"/>
          <w:i/>
          <w:szCs w:val="22"/>
        </w:rPr>
        <w:t>Thomas</w:t>
      </w:r>
      <w:r w:rsidR="009317A7">
        <w:rPr>
          <w:rFonts w:ascii="Garamond" w:hAnsi="Garamond"/>
          <w:szCs w:val="22"/>
        </w:rPr>
        <w:t xml:space="preserve">, the Fifth Circuit remanded to the district court to apply </w:t>
      </w:r>
      <w:r w:rsidR="009317A7">
        <w:rPr>
          <w:rFonts w:ascii="Garamond" w:hAnsi="Garamond"/>
          <w:i/>
          <w:szCs w:val="22"/>
        </w:rPr>
        <w:t>Tolan</w:t>
      </w:r>
      <w:r w:rsidR="009317A7">
        <w:rPr>
          <w:rFonts w:ascii="Garamond" w:hAnsi="Garamond"/>
          <w:szCs w:val="22"/>
        </w:rPr>
        <w:t>.</w:t>
      </w:r>
      <w:r w:rsidR="009317A7">
        <w:rPr>
          <w:rStyle w:val="FootnoteReference"/>
          <w:rFonts w:ascii="Garamond" w:hAnsi="Garamond"/>
          <w:szCs w:val="22"/>
        </w:rPr>
        <w:footnoteReference w:id="61"/>
      </w:r>
    </w:p>
    <w:p w14:paraId="3DAEB45D" w14:textId="12793960" w:rsidR="005D35A7" w:rsidRPr="00AD239A" w:rsidRDefault="005D35A7" w:rsidP="007D5DED">
      <w:pPr>
        <w:ind w:firstLine="360"/>
        <w:rPr>
          <w:rFonts w:ascii="Garamond" w:hAnsi="Garamond"/>
          <w:szCs w:val="22"/>
        </w:rPr>
      </w:pPr>
      <w:r w:rsidRPr="00AD239A">
        <w:rPr>
          <w:rFonts w:ascii="Garamond" w:hAnsi="Garamond"/>
          <w:szCs w:val="22"/>
        </w:rPr>
        <w:t>A third possibility is that the cases involved different parts of the qualified immunity analysis and slightly different inquiries</w:t>
      </w:r>
      <w:r w:rsidR="00A400FC" w:rsidRPr="00AD239A">
        <w:rPr>
          <w:rFonts w:ascii="Garamond" w:hAnsi="Garamond"/>
          <w:szCs w:val="22"/>
        </w:rPr>
        <w:t xml:space="preserve">. </w:t>
      </w:r>
      <w:r w:rsidR="00A400FC" w:rsidRPr="00AD239A">
        <w:rPr>
          <w:rFonts w:ascii="Garamond" w:hAnsi="Garamond"/>
          <w:i/>
          <w:szCs w:val="22"/>
        </w:rPr>
        <w:t>Tolan</w:t>
      </w:r>
      <w:r w:rsidR="00A400FC" w:rsidRPr="00AD239A">
        <w:rPr>
          <w:rFonts w:ascii="Garamond" w:hAnsi="Garamond"/>
          <w:szCs w:val="22"/>
        </w:rPr>
        <w:t xml:space="preserve"> and </w:t>
      </w:r>
      <w:r w:rsidR="00A400FC" w:rsidRPr="00AD239A">
        <w:rPr>
          <w:rFonts w:ascii="Garamond" w:hAnsi="Garamond"/>
          <w:i/>
          <w:szCs w:val="22"/>
        </w:rPr>
        <w:t>Thomas</w:t>
      </w:r>
      <w:r w:rsidR="00A400FC" w:rsidRPr="00AD239A">
        <w:rPr>
          <w:rFonts w:ascii="Garamond" w:hAnsi="Garamond"/>
          <w:szCs w:val="22"/>
        </w:rPr>
        <w:t xml:space="preserve"> </w:t>
      </w:r>
      <w:r w:rsidR="00DE6567" w:rsidRPr="00AD239A">
        <w:rPr>
          <w:rFonts w:ascii="Garamond" w:hAnsi="Garamond"/>
          <w:szCs w:val="22"/>
        </w:rPr>
        <w:t>become more significant</w:t>
      </w:r>
      <w:r w:rsidR="00A400FC" w:rsidRPr="00AD239A">
        <w:rPr>
          <w:rFonts w:ascii="Garamond" w:hAnsi="Garamond"/>
          <w:szCs w:val="22"/>
        </w:rPr>
        <w:t xml:space="preserve"> as qualified immunity cases than</w:t>
      </w:r>
      <w:r w:rsidR="00B97170" w:rsidRPr="00AD239A">
        <w:rPr>
          <w:rFonts w:ascii="Garamond" w:hAnsi="Garamond"/>
          <w:szCs w:val="22"/>
        </w:rPr>
        <w:t xml:space="preserve"> as</w:t>
      </w:r>
      <w:r w:rsidR="00A400FC" w:rsidRPr="00AD239A">
        <w:rPr>
          <w:rFonts w:ascii="Garamond" w:hAnsi="Garamond"/>
          <w:szCs w:val="22"/>
        </w:rPr>
        <w:t xml:space="preserve"> summary judgment cases</w:t>
      </w:r>
      <w:r w:rsidRPr="00AD239A">
        <w:rPr>
          <w:rFonts w:ascii="Garamond" w:hAnsi="Garamond"/>
          <w:szCs w:val="22"/>
        </w:rPr>
        <w:t xml:space="preserve">. The </w:t>
      </w:r>
      <w:r w:rsidR="006D5269" w:rsidRPr="00AD239A">
        <w:rPr>
          <w:rFonts w:ascii="Garamond" w:hAnsi="Garamond"/>
          <w:szCs w:val="22"/>
        </w:rPr>
        <w:t xml:space="preserve">real </w:t>
      </w:r>
      <w:r w:rsidRPr="00AD239A">
        <w:rPr>
          <w:rFonts w:ascii="Garamond" w:hAnsi="Garamond"/>
          <w:szCs w:val="22"/>
        </w:rPr>
        <w:t xml:space="preserve">issue </w:t>
      </w:r>
      <w:r w:rsidR="004F63A2" w:rsidRPr="00AD239A">
        <w:rPr>
          <w:rFonts w:ascii="Garamond" w:hAnsi="Garamond"/>
          <w:szCs w:val="22"/>
        </w:rPr>
        <w:t xml:space="preserve">in both cases </w:t>
      </w:r>
      <w:r w:rsidRPr="00AD239A">
        <w:rPr>
          <w:rFonts w:ascii="Garamond" w:hAnsi="Garamond"/>
          <w:szCs w:val="22"/>
        </w:rPr>
        <w:t xml:space="preserve">was how courts </w:t>
      </w:r>
      <w:r w:rsidR="00B633E9" w:rsidRPr="00AD239A">
        <w:rPr>
          <w:rFonts w:ascii="Garamond" w:hAnsi="Garamond"/>
          <w:szCs w:val="22"/>
        </w:rPr>
        <w:t>should</w:t>
      </w:r>
      <w:r w:rsidRPr="00AD239A">
        <w:rPr>
          <w:rFonts w:ascii="Garamond" w:hAnsi="Garamond"/>
          <w:szCs w:val="22"/>
        </w:rPr>
        <w:t xml:space="preserve"> define the factual context of a right in determining whether the right is clearly established. The </w:t>
      </w:r>
      <w:r w:rsidR="007D5DED" w:rsidRPr="00AD239A">
        <w:rPr>
          <w:rFonts w:ascii="Garamond" w:hAnsi="Garamond"/>
          <w:szCs w:val="22"/>
        </w:rPr>
        <w:t>decisions were significant in insisting that courts not collapse</w:t>
      </w:r>
      <w:r w:rsidRPr="00AD239A">
        <w:rPr>
          <w:rFonts w:ascii="Garamond" w:hAnsi="Garamond"/>
          <w:szCs w:val="22"/>
        </w:rPr>
        <w:t xml:space="preserve"> the two prongs by skipping to the second </w:t>
      </w:r>
      <w:r w:rsidR="00B10593" w:rsidRPr="00AD239A">
        <w:rPr>
          <w:rFonts w:ascii="Garamond" w:hAnsi="Garamond"/>
          <w:szCs w:val="22"/>
        </w:rPr>
        <w:t>step</w:t>
      </w:r>
      <w:r w:rsidR="00BE1A91" w:rsidRPr="00AD239A">
        <w:rPr>
          <w:rFonts w:ascii="Garamond" w:hAnsi="Garamond"/>
          <w:szCs w:val="22"/>
        </w:rPr>
        <w:t xml:space="preserve"> while</w:t>
      </w:r>
      <w:r w:rsidRPr="00AD239A">
        <w:rPr>
          <w:rFonts w:ascii="Garamond" w:hAnsi="Garamond"/>
          <w:szCs w:val="22"/>
        </w:rPr>
        <w:t xml:space="preserve"> importing potential factual disputes in defining the right. </w:t>
      </w:r>
      <w:r w:rsidR="0092242D" w:rsidRPr="00AD239A">
        <w:rPr>
          <w:rFonts w:ascii="Garamond" w:hAnsi="Garamond"/>
          <w:szCs w:val="22"/>
        </w:rPr>
        <w:t>By contrast</w:t>
      </w:r>
      <w:r w:rsidRPr="00AD239A">
        <w:rPr>
          <w:rFonts w:ascii="Garamond" w:hAnsi="Garamond"/>
          <w:szCs w:val="22"/>
        </w:rPr>
        <w:t xml:space="preserve">, because </w:t>
      </w:r>
      <w:r w:rsidRPr="00AD239A">
        <w:rPr>
          <w:rFonts w:ascii="Garamond" w:hAnsi="Garamond"/>
          <w:i/>
          <w:szCs w:val="22"/>
        </w:rPr>
        <w:t>Plumhoff</w:t>
      </w:r>
      <w:r w:rsidRPr="00AD239A">
        <w:rPr>
          <w:rFonts w:ascii="Garamond" w:hAnsi="Garamond"/>
          <w:szCs w:val="22"/>
        </w:rPr>
        <w:t xml:space="preserve"> involved no factual disputes (based, of course, on an over-emphasis on video), there were no</w:t>
      </w:r>
      <w:r w:rsidR="00E9655C" w:rsidRPr="00AD239A">
        <w:rPr>
          <w:rFonts w:ascii="Garamond" w:hAnsi="Garamond"/>
          <w:szCs w:val="22"/>
        </w:rPr>
        <w:t xml:space="preserve"> disputes</w:t>
      </w:r>
      <w:r w:rsidRPr="00AD239A">
        <w:rPr>
          <w:rFonts w:ascii="Garamond" w:hAnsi="Garamond"/>
          <w:szCs w:val="22"/>
        </w:rPr>
        <w:t xml:space="preserve"> to import into the second prong.</w:t>
      </w:r>
    </w:p>
    <w:sectPr w:rsidR="005D35A7" w:rsidRPr="00AD239A" w:rsidSect="009A21EC">
      <w:headerReference w:type="default" r:id="rId7"/>
      <w:footerReference w:type="even" r:id="rId8"/>
      <w:footerReference w:type="default" r:id="rId9"/>
      <w:pgSz w:w="12240" w:h="15840"/>
      <w:pgMar w:top="1800" w:right="2790" w:bottom="2880" w:left="2304" w:header="720" w:footer="720"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0463AC" w14:textId="77777777" w:rsidR="00EE252D" w:rsidRDefault="00EE252D">
      <w:r>
        <w:separator/>
      </w:r>
    </w:p>
  </w:endnote>
  <w:endnote w:type="continuationSeparator" w:id="0">
    <w:p w14:paraId="5BAF453B" w14:textId="77777777" w:rsidR="00EE252D" w:rsidRDefault="00EE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5DF33" w14:textId="77777777" w:rsidR="00EE252D" w:rsidRDefault="00EE252D" w:rsidP="00F826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CB09C6C" w14:textId="77777777" w:rsidR="00EE252D" w:rsidRDefault="00EE252D">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CC5082" w14:textId="77777777" w:rsidR="00EE252D" w:rsidRDefault="00EE252D" w:rsidP="00F826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317A7">
      <w:rPr>
        <w:rStyle w:val="PageNumber"/>
        <w:noProof/>
      </w:rPr>
      <w:t>12</w:t>
    </w:r>
    <w:r>
      <w:rPr>
        <w:rStyle w:val="PageNumber"/>
      </w:rPr>
      <w:fldChar w:fldCharType="end"/>
    </w:r>
  </w:p>
  <w:p w14:paraId="38394812" w14:textId="77777777" w:rsidR="00EE252D" w:rsidRDefault="00EE252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2CE558" w14:textId="77777777" w:rsidR="00EE252D" w:rsidRDefault="00EE252D">
      <w:r>
        <w:separator/>
      </w:r>
    </w:p>
  </w:footnote>
  <w:footnote w:type="continuationSeparator" w:id="0">
    <w:p w14:paraId="7A2E610D" w14:textId="77777777" w:rsidR="00EE252D" w:rsidRDefault="00EE252D">
      <w:r>
        <w:continuationSeparator/>
      </w:r>
    </w:p>
  </w:footnote>
  <w:footnote w:id="1">
    <w:p w14:paraId="2B252E9E" w14:textId="63B32481"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Celotex Corp. v. Catrett, 477 U.S. 317 (1986); Anderson v. Liberty Lobby, Inc., 477 U.S. 242 (1986); Matsushita v. Zenith Radio Corp., 475 U.S. 574 (1986).</w:t>
      </w:r>
    </w:p>
  </w:footnote>
  <w:footnote w:id="2">
    <w:p w14:paraId="26FE31D5" w14:textId="675AA38F"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John H. Langbein, </w:t>
      </w:r>
      <w:r w:rsidRPr="009317A7">
        <w:rPr>
          <w:rFonts w:ascii="Garamond" w:hAnsi="Garamond"/>
          <w:i/>
          <w:sz w:val="18"/>
          <w:szCs w:val="18"/>
        </w:rPr>
        <w:t>The Disappearance of Civil Trial in the United States</w:t>
      </w:r>
      <w:r w:rsidRPr="009317A7">
        <w:rPr>
          <w:rFonts w:ascii="Garamond" w:hAnsi="Garamond"/>
          <w:sz w:val="18"/>
          <w:szCs w:val="18"/>
        </w:rPr>
        <w:t xml:space="preserve">, 122 </w:t>
      </w:r>
      <w:r w:rsidRPr="009317A7">
        <w:rPr>
          <w:rFonts w:ascii="Garamond" w:hAnsi="Garamond"/>
          <w:smallCaps/>
          <w:sz w:val="18"/>
          <w:szCs w:val="18"/>
        </w:rPr>
        <w:t>Yale L.J</w:t>
      </w:r>
      <w:r w:rsidRPr="009317A7">
        <w:rPr>
          <w:rFonts w:ascii="Garamond" w:hAnsi="Garamond"/>
          <w:sz w:val="18"/>
          <w:szCs w:val="18"/>
        </w:rPr>
        <w:t>. 522, 568-69 (2012).</w:t>
      </w:r>
    </w:p>
  </w:footnote>
  <w:footnote w:id="3">
    <w:p w14:paraId="6DB8C1EE" w14:textId="350596D5"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Langbein, </w:t>
      </w:r>
      <w:r w:rsidRPr="009317A7">
        <w:rPr>
          <w:rFonts w:ascii="Garamond" w:hAnsi="Garamond"/>
          <w:i/>
          <w:sz w:val="18"/>
          <w:szCs w:val="18"/>
        </w:rPr>
        <w:t>supra</w:t>
      </w:r>
      <w:r w:rsidRPr="009317A7">
        <w:rPr>
          <w:rFonts w:ascii="Garamond" w:hAnsi="Garamond"/>
          <w:sz w:val="18"/>
          <w:szCs w:val="18"/>
        </w:rPr>
        <w:t xml:space="preserve"> note ___, at 569; Arthur R. Miller, </w:t>
      </w:r>
      <w:r w:rsidRPr="009317A7">
        <w:rPr>
          <w:rFonts w:ascii="Garamond" w:hAnsi="Garamond"/>
          <w:i/>
          <w:sz w:val="18"/>
          <w:szCs w:val="18"/>
        </w:rPr>
        <w:t>The Pretrial Rush to Judgment: Are the “Litigation Explosion,” “Liability Crisis,” and Efficiency Cliches Eroding Our Day in Court and Jury Trial Commitments?</w:t>
      </w:r>
      <w:r w:rsidRPr="009317A7">
        <w:rPr>
          <w:rFonts w:ascii="Garamond" w:hAnsi="Garamond"/>
          <w:sz w:val="18"/>
          <w:szCs w:val="18"/>
        </w:rPr>
        <w:t xml:space="preserve">, 78 N.Y.U. L. Rev. 982 (2003); Martin H. Redish, </w:t>
      </w:r>
      <w:r w:rsidRPr="009317A7">
        <w:rPr>
          <w:rFonts w:ascii="Garamond" w:hAnsi="Garamond"/>
          <w:i/>
          <w:sz w:val="18"/>
          <w:szCs w:val="18"/>
        </w:rPr>
        <w:t>Summary Judgment and the Vanishing Trial: Implications of the Litigation Matrix</w:t>
      </w:r>
      <w:r w:rsidRPr="009317A7">
        <w:rPr>
          <w:rFonts w:ascii="Garamond" w:hAnsi="Garamond"/>
          <w:sz w:val="18"/>
          <w:szCs w:val="18"/>
        </w:rPr>
        <w:t xml:space="preserve">, 57 Stan. L. Rev. 1329 (2005); Elizabeth M. Schneider, </w:t>
      </w:r>
      <w:r w:rsidRPr="009317A7">
        <w:rPr>
          <w:rFonts w:ascii="Garamond" w:hAnsi="Garamond"/>
          <w:i/>
          <w:sz w:val="18"/>
          <w:szCs w:val="18"/>
        </w:rPr>
        <w:t>The Changing Shape of Federal Civil Pretrial Practice: The Disparate Impact on Civil Rights and Employment Discrimination Cases</w:t>
      </w:r>
      <w:r w:rsidRPr="009317A7">
        <w:rPr>
          <w:rFonts w:ascii="Garamond" w:hAnsi="Garamond"/>
          <w:sz w:val="18"/>
          <w:szCs w:val="18"/>
        </w:rPr>
        <w:t>, 158 U. Pa. L. Rev. 517, 548-49 (2010.</w:t>
      </w:r>
    </w:p>
  </w:footnote>
  <w:footnote w:id="4">
    <w:p w14:paraId="03D12646" w14:textId="574C3D1E"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Schneider, </w:t>
      </w:r>
      <w:r w:rsidRPr="009317A7">
        <w:rPr>
          <w:rFonts w:ascii="Garamond" w:hAnsi="Garamond"/>
          <w:i/>
          <w:sz w:val="18"/>
          <w:szCs w:val="18"/>
        </w:rPr>
        <w:t>supra</w:t>
      </w:r>
      <w:r w:rsidRPr="009317A7">
        <w:rPr>
          <w:rFonts w:ascii="Garamond" w:hAnsi="Garamond"/>
          <w:sz w:val="18"/>
          <w:szCs w:val="18"/>
        </w:rPr>
        <w:t xml:space="preserve"> note ___, at 548-49.</w:t>
      </w:r>
    </w:p>
  </w:footnote>
  <w:footnote w:id="5">
    <w:p w14:paraId="01727FCD" w14:textId="336F1DFF"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Fed. R. Civ. P. 56 (as amended 2010); Fed. R. Civ. P. 56, Advisory Committee’s Notes to 2010 Amendments, Subdivision (b).</w:t>
      </w:r>
    </w:p>
  </w:footnote>
  <w:footnote w:id="6">
    <w:p w14:paraId="4D1F347A" w14:textId="13493384"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Fifth Third Bancorp v. Duddenhoffer, 134 S. Ct. 2459 (2014); Wood v. Moss, 134 S. C. 2056 (2014); Lexmark Int’l v. Static Control Components, 134 S. Ct. 1377, 1393-94 (2014); Ashcroft v. Iqbal, 556 U.S. 662 (2009); Tellabs, Inc. v. Makor Issues &amp; Rights, Ltd., 551 U.S. 308 (2007); Bell Atl. Corp. v. Twombly, 550 U.S. 544 (2007); </w:t>
      </w:r>
      <w:r w:rsidRPr="009317A7">
        <w:rPr>
          <w:rFonts w:ascii="Garamond" w:hAnsi="Garamond"/>
          <w:i/>
          <w:sz w:val="18"/>
          <w:szCs w:val="18"/>
        </w:rPr>
        <w:t>see also</w:t>
      </w:r>
      <w:r w:rsidRPr="009317A7">
        <w:rPr>
          <w:rFonts w:ascii="Garamond" w:hAnsi="Garamond"/>
          <w:sz w:val="18"/>
          <w:szCs w:val="18"/>
        </w:rPr>
        <w:t xml:space="preserve"> Indiana State Dist. Council of Laborers v. Omnicare, Inc., 719 F.3d 498 (6th Cir. 2013), </w:t>
      </w:r>
      <w:r w:rsidRPr="009317A7">
        <w:rPr>
          <w:rFonts w:ascii="Garamond" w:hAnsi="Garamond"/>
          <w:i/>
          <w:sz w:val="18"/>
          <w:szCs w:val="18"/>
        </w:rPr>
        <w:t>cert. granted</w:t>
      </w:r>
      <w:r w:rsidRPr="009317A7">
        <w:rPr>
          <w:rFonts w:ascii="Garamond" w:hAnsi="Garamond"/>
          <w:sz w:val="18"/>
          <w:szCs w:val="18"/>
        </w:rPr>
        <w:t xml:space="preserve"> </w:t>
      </w:r>
      <w:r w:rsidRPr="009317A7">
        <w:rPr>
          <w:rFonts w:ascii="Garamond" w:eastAsia="Times New Roman" w:hAnsi="Garamond" w:cs="Times New Roman"/>
          <w:sz w:val="18"/>
          <w:szCs w:val="18"/>
        </w:rPr>
        <w:t>134 S. Ct. 1490 (2014).</w:t>
      </w:r>
    </w:p>
  </w:footnote>
  <w:footnote w:id="7">
    <w:p w14:paraId="02ED949D" w14:textId="65B0BE0A"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Compare</w:t>
      </w:r>
      <w:r w:rsidRPr="009317A7">
        <w:rPr>
          <w:rFonts w:ascii="Garamond" w:hAnsi="Garamond"/>
          <w:sz w:val="18"/>
          <w:szCs w:val="18"/>
        </w:rPr>
        <w:t xml:space="preserve"> Scott Dodson, </w:t>
      </w:r>
      <w:r w:rsidRPr="009317A7">
        <w:rPr>
          <w:rFonts w:ascii="Garamond" w:hAnsi="Garamond"/>
          <w:i/>
          <w:sz w:val="18"/>
          <w:szCs w:val="18"/>
        </w:rPr>
        <w:t>A New Look: Dismissal Rates of Federal Civil Claims</w:t>
      </w:r>
      <w:r w:rsidRPr="009317A7">
        <w:rPr>
          <w:rFonts w:ascii="Garamond" w:hAnsi="Garamond"/>
          <w:sz w:val="18"/>
          <w:szCs w:val="18"/>
        </w:rPr>
        <w:t xml:space="preserve">, 96 JUDICATURE 127 (2012); Parricia Hatamyar Moore, </w:t>
      </w:r>
      <w:r w:rsidRPr="009317A7">
        <w:rPr>
          <w:rFonts w:ascii="Garamond" w:hAnsi="Garamond"/>
          <w:i/>
          <w:sz w:val="18"/>
          <w:szCs w:val="18"/>
        </w:rPr>
        <w:t xml:space="preserve">An Updated Quantitative Study of </w:t>
      </w:r>
      <w:r w:rsidRPr="009317A7">
        <w:rPr>
          <w:rFonts w:ascii="Garamond" w:hAnsi="Garamond"/>
          <w:sz w:val="18"/>
          <w:szCs w:val="18"/>
        </w:rPr>
        <w:t>Iqbal</w:t>
      </w:r>
      <w:r w:rsidRPr="009317A7">
        <w:rPr>
          <w:rFonts w:ascii="Garamond" w:hAnsi="Garamond"/>
          <w:i/>
          <w:sz w:val="18"/>
          <w:szCs w:val="18"/>
        </w:rPr>
        <w:t>’s Impact on 12(b)(6) Motions</w:t>
      </w:r>
      <w:r w:rsidRPr="009317A7">
        <w:rPr>
          <w:rFonts w:ascii="Garamond" w:hAnsi="Garamond"/>
          <w:sz w:val="18"/>
          <w:szCs w:val="18"/>
        </w:rPr>
        <w:t xml:space="preserve">, 46 </w:t>
      </w:r>
      <w:r w:rsidRPr="009317A7">
        <w:rPr>
          <w:rFonts w:ascii="Garamond" w:hAnsi="Garamond"/>
          <w:smallCaps/>
          <w:sz w:val="18"/>
          <w:szCs w:val="18"/>
        </w:rPr>
        <w:t>U. Rich. L. Rev</w:t>
      </w:r>
      <w:r w:rsidRPr="009317A7">
        <w:rPr>
          <w:rFonts w:ascii="Garamond" w:hAnsi="Garamond"/>
          <w:sz w:val="18"/>
          <w:szCs w:val="18"/>
        </w:rPr>
        <w:t xml:space="preserve">. 603 (2012); </w:t>
      </w:r>
      <w:r w:rsidRPr="009317A7">
        <w:rPr>
          <w:rFonts w:ascii="Garamond" w:hAnsi="Garamond"/>
          <w:i/>
          <w:sz w:val="18"/>
          <w:szCs w:val="18"/>
        </w:rPr>
        <w:t>and</w:t>
      </w:r>
      <w:r w:rsidRPr="009317A7">
        <w:rPr>
          <w:rFonts w:ascii="Garamond" w:hAnsi="Garamond"/>
          <w:sz w:val="18"/>
          <w:szCs w:val="18"/>
        </w:rPr>
        <w:t xml:space="preserve"> Lonny Hoffman, Twombly</w:t>
      </w:r>
      <w:r w:rsidRPr="009317A7">
        <w:rPr>
          <w:rFonts w:ascii="Garamond" w:hAnsi="Garamond"/>
          <w:i/>
          <w:sz w:val="18"/>
          <w:szCs w:val="18"/>
        </w:rPr>
        <w:t xml:space="preserve"> and </w:t>
      </w:r>
      <w:r w:rsidRPr="009317A7">
        <w:rPr>
          <w:rFonts w:ascii="Garamond" w:hAnsi="Garamond"/>
          <w:sz w:val="18"/>
          <w:szCs w:val="18"/>
        </w:rPr>
        <w:t>Iqbal</w:t>
      </w:r>
      <w:r w:rsidRPr="009317A7">
        <w:rPr>
          <w:rFonts w:ascii="Garamond" w:hAnsi="Garamond"/>
          <w:i/>
          <w:sz w:val="18"/>
          <w:szCs w:val="18"/>
        </w:rPr>
        <w:t>’s Measure: An Assessment of the Federal Judicial Center’s Study of Motions to Dismiss</w:t>
      </w:r>
      <w:r w:rsidRPr="009317A7">
        <w:rPr>
          <w:rFonts w:ascii="Garamond" w:hAnsi="Garamond"/>
          <w:sz w:val="18"/>
          <w:szCs w:val="18"/>
        </w:rPr>
        <w:t xml:space="preserve">, 6 </w:t>
      </w:r>
      <w:r w:rsidRPr="009317A7">
        <w:rPr>
          <w:rFonts w:ascii="Garamond" w:hAnsi="Garamond"/>
          <w:smallCaps/>
          <w:sz w:val="18"/>
          <w:szCs w:val="18"/>
        </w:rPr>
        <w:t>Fed. Cts. L. Rev</w:t>
      </w:r>
      <w:r w:rsidRPr="009317A7">
        <w:rPr>
          <w:rFonts w:ascii="Garamond" w:hAnsi="Garamond"/>
          <w:sz w:val="18"/>
          <w:szCs w:val="18"/>
        </w:rPr>
        <w:t xml:space="preserve">. 1 (2011); </w:t>
      </w:r>
      <w:r w:rsidRPr="009317A7">
        <w:rPr>
          <w:rFonts w:ascii="Garamond" w:hAnsi="Garamond"/>
          <w:i/>
          <w:sz w:val="18"/>
          <w:szCs w:val="18"/>
        </w:rPr>
        <w:t>and</w:t>
      </w:r>
      <w:r w:rsidRPr="009317A7">
        <w:rPr>
          <w:rFonts w:ascii="Garamond" w:hAnsi="Garamond"/>
          <w:sz w:val="18"/>
          <w:szCs w:val="18"/>
        </w:rPr>
        <w:t xml:space="preserve"> </w:t>
      </w:r>
      <w:r w:rsidRPr="009317A7">
        <w:rPr>
          <w:rFonts w:ascii="Garamond" w:hAnsi="Garamond"/>
          <w:i/>
          <w:sz w:val="18"/>
          <w:szCs w:val="18"/>
        </w:rPr>
        <w:t>with</w:t>
      </w:r>
      <w:r w:rsidRPr="009317A7">
        <w:rPr>
          <w:rFonts w:ascii="Garamond" w:hAnsi="Garamond"/>
          <w:sz w:val="18"/>
          <w:szCs w:val="18"/>
        </w:rPr>
        <w:t xml:space="preserve"> William H.J. Hubbard, </w:t>
      </w:r>
      <w:r w:rsidRPr="009317A7">
        <w:rPr>
          <w:rFonts w:ascii="Garamond" w:hAnsi="Garamond"/>
          <w:i/>
          <w:sz w:val="18"/>
          <w:szCs w:val="18"/>
        </w:rPr>
        <w:t xml:space="preserve">Testing for Change in Procedural Standards, With Application to </w:t>
      </w:r>
      <w:r w:rsidRPr="009317A7">
        <w:rPr>
          <w:rFonts w:ascii="Garamond" w:hAnsi="Garamond"/>
          <w:sz w:val="18"/>
          <w:szCs w:val="18"/>
        </w:rPr>
        <w:t xml:space="preserve">Bell Atlantic v. Twombly, 42 J. </w:t>
      </w:r>
      <w:r w:rsidRPr="009317A7">
        <w:rPr>
          <w:rFonts w:ascii="Garamond" w:hAnsi="Garamond"/>
          <w:smallCaps/>
          <w:sz w:val="18"/>
          <w:szCs w:val="18"/>
        </w:rPr>
        <w:t>Legal Stud</w:t>
      </w:r>
      <w:r w:rsidRPr="009317A7">
        <w:rPr>
          <w:rFonts w:ascii="Garamond" w:hAnsi="Garamond"/>
          <w:sz w:val="18"/>
          <w:szCs w:val="18"/>
        </w:rPr>
        <w:t>. 35 (2013).</w:t>
      </w:r>
    </w:p>
  </w:footnote>
  <w:footnote w:id="8">
    <w:p w14:paraId="6CCA5D10" w14:textId="6B3379F9"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Iqbal</w:t>
      </w:r>
      <w:r w:rsidRPr="009317A7">
        <w:rPr>
          <w:rFonts w:ascii="Garamond" w:hAnsi="Garamond"/>
          <w:sz w:val="18"/>
          <w:szCs w:val="18"/>
        </w:rPr>
        <w:t>, 556 U.S. at ___.</w:t>
      </w:r>
    </w:p>
  </w:footnote>
  <w:footnote w:id="9">
    <w:p w14:paraId="11179CB6" w14:textId="2074AD23"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Scott v. Harris, 550 U.S. 372 (2007); </w:t>
      </w:r>
      <w:r w:rsidRPr="009317A7">
        <w:rPr>
          <w:rFonts w:ascii="Garamond" w:hAnsi="Garamond"/>
          <w:i/>
          <w:sz w:val="18"/>
          <w:szCs w:val="18"/>
        </w:rPr>
        <w:t>cf.</w:t>
      </w:r>
      <w:r w:rsidRPr="009317A7">
        <w:rPr>
          <w:rFonts w:ascii="Garamond" w:hAnsi="Garamond"/>
          <w:sz w:val="18"/>
          <w:szCs w:val="18"/>
        </w:rPr>
        <w:t xml:space="preserve"> Ortiz v. Jordan, 131 S. Ct. 884, 893 (2011) (holding that defendant could not appeal denial of summary judgment on qualified immunity after trial on the merits).</w:t>
      </w:r>
    </w:p>
  </w:footnote>
  <w:footnote w:id="10">
    <w:p w14:paraId="5A7C0599" w14:textId="15A19C51"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Scott</w:t>
      </w:r>
      <w:r w:rsidRPr="009317A7">
        <w:rPr>
          <w:rFonts w:ascii="Garamond" w:hAnsi="Garamond"/>
          <w:sz w:val="18"/>
          <w:szCs w:val="18"/>
        </w:rPr>
        <w:t xml:space="preserve">, 550 U.S. at 1774-76; </w:t>
      </w:r>
      <w:r w:rsidRPr="009317A7">
        <w:rPr>
          <w:rFonts w:ascii="Garamond" w:hAnsi="Garamond"/>
          <w:i/>
          <w:sz w:val="18"/>
          <w:szCs w:val="18"/>
        </w:rPr>
        <w:t>see also</w:t>
      </w:r>
      <w:r w:rsidRPr="009317A7">
        <w:rPr>
          <w:rFonts w:ascii="Garamond" w:hAnsi="Garamond"/>
          <w:sz w:val="18"/>
          <w:szCs w:val="18"/>
        </w:rPr>
        <w:t xml:space="preserve"> Howard M. Wasserman, </w:t>
      </w:r>
      <w:r w:rsidRPr="009317A7">
        <w:rPr>
          <w:rFonts w:ascii="Garamond" w:hAnsi="Garamond"/>
          <w:i/>
          <w:sz w:val="18"/>
          <w:szCs w:val="18"/>
        </w:rPr>
        <w:t>Orwell’s Vision: Video and the Future of Civil Rights Enforcement</w:t>
      </w:r>
      <w:r w:rsidRPr="009317A7">
        <w:rPr>
          <w:rFonts w:ascii="Garamond" w:hAnsi="Garamond"/>
          <w:sz w:val="18"/>
          <w:szCs w:val="18"/>
        </w:rPr>
        <w:t xml:space="preserve">, 68 </w:t>
      </w:r>
      <w:r w:rsidRPr="009317A7">
        <w:rPr>
          <w:rFonts w:ascii="Garamond" w:hAnsi="Garamond"/>
          <w:smallCaps/>
          <w:sz w:val="18"/>
          <w:szCs w:val="18"/>
        </w:rPr>
        <w:t>Md. L. Rev</w:t>
      </w:r>
      <w:r w:rsidRPr="009317A7">
        <w:rPr>
          <w:rFonts w:ascii="Garamond" w:hAnsi="Garamond"/>
          <w:sz w:val="18"/>
          <w:szCs w:val="18"/>
        </w:rPr>
        <w:t>. 600, 622-26 (2009).</w:t>
      </w:r>
    </w:p>
  </w:footnote>
  <w:footnote w:id="11">
    <w:p w14:paraId="01A76923" w14:textId="2A852322"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Schneider, </w:t>
      </w:r>
      <w:r w:rsidRPr="009317A7">
        <w:rPr>
          <w:rFonts w:ascii="Garamond" w:hAnsi="Garamond"/>
          <w:i/>
          <w:sz w:val="18"/>
          <w:szCs w:val="18"/>
        </w:rPr>
        <w:t>supra</w:t>
      </w:r>
      <w:r w:rsidRPr="009317A7">
        <w:rPr>
          <w:rFonts w:ascii="Garamond" w:hAnsi="Garamond"/>
          <w:sz w:val="18"/>
          <w:szCs w:val="18"/>
        </w:rPr>
        <w:t xml:space="preserve"> note ___, at 550.</w:t>
      </w:r>
    </w:p>
  </w:footnote>
  <w:footnote w:id="12">
    <w:p w14:paraId="012F38D5" w14:textId="28E66881"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134 S. Ct. 2012 (2014).</w:t>
      </w:r>
    </w:p>
  </w:footnote>
  <w:footnote w:id="13">
    <w:p w14:paraId="19AFEF50" w14:textId="6614EF9F"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Id.</w:t>
      </w:r>
      <w:r w:rsidRPr="009317A7">
        <w:rPr>
          <w:rFonts w:ascii="Garamond" w:hAnsi="Garamond"/>
          <w:sz w:val="18"/>
          <w:szCs w:val="18"/>
        </w:rPr>
        <w:t xml:space="preserve"> at 2016.</w:t>
      </w:r>
    </w:p>
  </w:footnote>
  <w:footnote w:id="14">
    <w:p w14:paraId="5C335997" w14:textId="567C1D57"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Id.</w:t>
      </w:r>
      <w:r w:rsidRPr="009317A7">
        <w:rPr>
          <w:rFonts w:ascii="Garamond" w:hAnsi="Garamond"/>
          <w:sz w:val="18"/>
          <w:szCs w:val="18"/>
        </w:rPr>
        <w:t xml:space="preserve"> at ___.</w:t>
      </w:r>
    </w:p>
  </w:footnote>
  <w:footnote w:id="15">
    <w:p w14:paraId="6759FACB" w14:textId="100121C7"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Id.</w:t>
      </w:r>
      <w:r w:rsidRPr="009317A7">
        <w:rPr>
          <w:rFonts w:ascii="Garamond" w:hAnsi="Garamond"/>
          <w:sz w:val="18"/>
          <w:szCs w:val="18"/>
        </w:rPr>
        <w:t xml:space="preserve"> at 2017-18</w:t>
      </w:r>
    </w:p>
  </w:footnote>
  <w:footnote w:id="16">
    <w:p w14:paraId="38F53251" w14:textId="5EDADEA1"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Compare</w:t>
      </w:r>
      <w:r w:rsidRPr="009317A7">
        <w:rPr>
          <w:rFonts w:ascii="Garamond" w:hAnsi="Garamond"/>
          <w:sz w:val="18"/>
          <w:szCs w:val="18"/>
        </w:rPr>
        <w:t xml:space="preserve"> </w:t>
      </w:r>
      <w:r w:rsidRPr="009317A7">
        <w:rPr>
          <w:rFonts w:ascii="Garamond" w:hAnsi="Garamond"/>
          <w:i/>
          <w:sz w:val="18"/>
          <w:szCs w:val="18"/>
        </w:rPr>
        <w:t>Scott</w:t>
      </w:r>
      <w:r w:rsidRPr="009317A7">
        <w:rPr>
          <w:rFonts w:ascii="Garamond" w:hAnsi="Garamond"/>
          <w:sz w:val="18"/>
          <w:szCs w:val="18"/>
        </w:rPr>
        <w:t>, 550 U.S. at 1775 n.5.</w:t>
      </w:r>
    </w:p>
  </w:footnote>
  <w:footnote w:id="17">
    <w:p w14:paraId="06BA8F3B" w14:textId="522CA81D"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Plumhoff</w:t>
      </w:r>
      <w:r w:rsidRPr="009317A7">
        <w:rPr>
          <w:rFonts w:ascii="Garamond" w:hAnsi="Garamond"/>
          <w:sz w:val="18"/>
          <w:szCs w:val="18"/>
        </w:rPr>
        <w:t>, 134 S. Ct. at 2021.</w:t>
      </w:r>
    </w:p>
  </w:footnote>
  <w:footnote w:id="18">
    <w:p w14:paraId="4999C951" w14:textId="26FEA915"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Id.</w:t>
      </w:r>
      <w:r w:rsidRPr="009317A7">
        <w:rPr>
          <w:rFonts w:ascii="Garamond" w:hAnsi="Garamond"/>
          <w:sz w:val="18"/>
          <w:szCs w:val="18"/>
        </w:rPr>
        <w:t xml:space="preserve"> at 2021-22. The Court also rejected the argument that, as a matter of the Fourth Amendment, fifteen shots was too many. Once police were justified in shooting, they could shoot however much was necessary to end the chase. </w:t>
      </w:r>
      <w:r w:rsidRPr="009317A7">
        <w:rPr>
          <w:rFonts w:ascii="Garamond" w:hAnsi="Garamond"/>
          <w:i/>
          <w:sz w:val="18"/>
          <w:szCs w:val="18"/>
        </w:rPr>
        <w:t>Id.</w:t>
      </w:r>
      <w:r w:rsidRPr="009317A7">
        <w:rPr>
          <w:rFonts w:ascii="Garamond" w:hAnsi="Garamond"/>
          <w:sz w:val="18"/>
          <w:szCs w:val="18"/>
        </w:rPr>
        <w:t xml:space="preserve"> at 1022. Justice Breyer did not join this portion of the opinion. </w:t>
      </w:r>
      <w:r w:rsidRPr="009317A7">
        <w:rPr>
          <w:rFonts w:ascii="Garamond" w:hAnsi="Garamond"/>
          <w:i/>
          <w:sz w:val="18"/>
          <w:szCs w:val="18"/>
        </w:rPr>
        <w:t>Id.</w:t>
      </w:r>
      <w:r w:rsidRPr="009317A7">
        <w:rPr>
          <w:rFonts w:ascii="Garamond" w:hAnsi="Garamond"/>
          <w:sz w:val="18"/>
          <w:szCs w:val="18"/>
        </w:rPr>
        <w:t xml:space="preserve"> at 2017 n*.</w:t>
      </w:r>
    </w:p>
  </w:footnote>
  <w:footnote w:id="19">
    <w:p w14:paraId="4C118DA2" w14:textId="32FF3124"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Wasserman, </w:t>
      </w:r>
      <w:r w:rsidRPr="009317A7">
        <w:rPr>
          <w:rFonts w:ascii="Garamond" w:hAnsi="Garamond"/>
          <w:i/>
          <w:sz w:val="18"/>
          <w:szCs w:val="18"/>
        </w:rPr>
        <w:t>supra</w:t>
      </w:r>
      <w:r w:rsidRPr="009317A7">
        <w:rPr>
          <w:rFonts w:ascii="Garamond" w:hAnsi="Garamond"/>
          <w:sz w:val="18"/>
          <w:szCs w:val="18"/>
        </w:rPr>
        <w:t xml:space="preserve"> note ___, at 618-21, 624-26.</w:t>
      </w:r>
    </w:p>
  </w:footnote>
  <w:footnote w:id="20">
    <w:p w14:paraId="187DFF0A" w14:textId="7650785A"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Dan M. Kahan, David A. Hoffman, &amp; Donald Braman, </w:t>
      </w:r>
      <w:r w:rsidRPr="009317A7">
        <w:rPr>
          <w:rFonts w:ascii="Garamond" w:hAnsi="Garamond"/>
          <w:i/>
          <w:sz w:val="18"/>
          <w:szCs w:val="18"/>
        </w:rPr>
        <w:t xml:space="preserve">Whose Eyes Are You Going to Believe? </w:t>
      </w:r>
      <w:r w:rsidRPr="009317A7">
        <w:rPr>
          <w:rFonts w:ascii="Garamond" w:hAnsi="Garamond"/>
          <w:sz w:val="18"/>
          <w:szCs w:val="18"/>
        </w:rPr>
        <w:t>Scott v. Harris</w:t>
      </w:r>
      <w:r w:rsidRPr="009317A7">
        <w:rPr>
          <w:rFonts w:ascii="Garamond" w:hAnsi="Garamond"/>
          <w:i/>
          <w:sz w:val="18"/>
          <w:szCs w:val="18"/>
        </w:rPr>
        <w:t xml:space="preserve"> and the Perils of Cognitive Illiberalism</w:t>
      </w:r>
      <w:r w:rsidRPr="009317A7">
        <w:rPr>
          <w:rFonts w:ascii="Garamond" w:hAnsi="Garamond"/>
          <w:sz w:val="18"/>
          <w:szCs w:val="18"/>
        </w:rPr>
        <w:t xml:space="preserve">, 122 </w:t>
      </w:r>
      <w:r w:rsidRPr="009317A7">
        <w:rPr>
          <w:rFonts w:ascii="Garamond" w:hAnsi="Garamond"/>
          <w:smallCaps/>
          <w:sz w:val="18"/>
          <w:szCs w:val="18"/>
        </w:rPr>
        <w:t>Harv. L. Rev</w:t>
      </w:r>
      <w:r w:rsidRPr="009317A7">
        <w:rPr>
          <w:rFonts w:ascii="Garamond" w:hAnsi="Garamond"/>
          <w:sz w:val="18"/>
          <w:szCs w:val="18"/>
        </w:rPr>
        <w:t xml:space="preserve">. 837, 879 (2009); </w:t>
      </w:r>
      <w:r w:rsidRPr="009317A7">
        <w:rPr>
          <w:rFonts w:ascii="Garamond" w:hAnsi="Garamond"/>
          <w:i/>
          <w:sz w:val="18"/>
          <w:szCs w:val="18"/>
        </w:rPr>
        <w:t>see also</w:t>
      </w:r>
      <w:r w:rsidRPr="009317A7">
        <w:rPr>
          <w:rFonts w:ascii="Garamond" w:hAnsi="Garamond"/>
          <w:sz w:val="18"/>
          <w:szCs w:val="18"/>
        </w:rPr>
        <w:t xml:space="preserve"> Wasserman, </w:t>
      </w:r>
      <w:r w:rsidRPr="009317A7">
        <w:rPr>
          <w:rFonts w:ascii="Garamond" w:hAnsi="Garamond"/>
          <w:i/>
          <w:sz w:val="18"/>
          <w:szCs w:val="18"/>
        </w:rPr>
        <w:t>supra</w:t>
      </w:r>
      <w:r w:rsidRPr="009317A7">
        <w:rPr>
          <w:rFonts w:ascii="Garamond" w:hAnsi="Garamond"/>
          <w:sz w:val="18"/>
          <w:szCs w:val="18"/>
        </w:rPr>
        <w:t xml:space="preserve"> note ___, at 627.</w:t>
      </w:r>
    </w:p>
  </w:footnote>
  <w:footnote w:id="21">
    <w:p w14:paraId="54BDCA84" w14:textId="3623B37E"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Kahan, et al.,</w:t>
      </w:r>
      <w:r w:rsidRPr="009317A7">
        <w:rPr>
          <w:rFonts w:ascii="Garamond" w:hAnsi="Garamond"/>
          <w:i/>
          <w:sz w:val="18"/>
          <w:szCs w:val="18"/>
        </w:rPr>
        <w:t xml:space="preserve"> supra</w:t>
      </w:r>
      <w:r w:rsidRPr="009317A7">
        <w:rPr>
          <w:rFonts w:ascii="Garamond" w:hAnsi="Garamond"/>
          <w:sz w:val="18"/>
          <w:szCs w:val="18"/>
        </w:rPr>
        <w:t xml:space="preserve"> note ___, at 883.</w:t>
      </w:r>
    </w:p>
  </w:footnote>
  <w:footnote w:id="22">
    <w:p w14:paraId="33CB584D" w14:textId="51E73644"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See, e.g.</w:t>
      </w:r>
      <w:r w:rsidRPr="009317A7">
        <w:rPr>
          <w:rFonts w:ascii="Garamond" w:hAnsi="Garamond"/>
          <w:sz w:val="18"/>
          <w:szCs w:val="18"/>
        </w:rPr>
        <w:t xml:space="preserve">, Marvin v. City of Taylor, 509 F.3d 234, 248-49 (6th Cir. 2007); Meacham v. Frazier, 500 F.3d 1200, 1202 n.2 (10th Cir. 2007); White v. United States, 863 F. Supp. 2d 41, 49 (D.D.C. 2012) (describing “unbiased video evidence” as basis for court to reject plaintiffs’ version of events); Marion v. City of Corydon, 2008 WL 763211, *1 &amp; n.1 (S.D. Ind. 2008); </w:t>
      </w:r>
      <w:r w:rsidRPr="009317A7">
        <w:rPr>
          <w:rFonts w:ascii="Garamond" w:hAnsi="Garamond"/>
          <w:i/>
          <w:sz w:val="18"/>
          <w:szCs w:val="18"/>
        </w:rPr>
        <w:t>but see</w:t>
      </w:r>
      <w:r w:rsidRPr="009317A7">
        <w:rPr>
          <w:rFonts w:ascii="Garamond" w:hAnsi="Garamond"/>
          <w:sz w:val="18"/>
          <w:szCs w:val="18"/>
        </w:rPr>
        <w:t xml:space="preserve"> Witt v. W. Va. State Police, Troop 2, 633 F.3d 272, 277 (4th Cir. 2011) (finding video not sufficiently conclusive to override contrary testimony, where video was of poor quality, lacked sound, and had several seconds missing).</w:t>
      </w:r>
    </w:p>
  </w:footnote>
  <w:footnote w:id="23">
    <w:p w14:paraId="25D73631" w14:textId="72DC5D01"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Oral Argument in </w:t>
      </w:r>
      <w:r w:rsidRPr="009317A7">
        <w:rPr>
          <w:rFonts w:ascii="Garamond" w:hAnsi="Garamond"/>
          <w:i/>
          <w:sz w:val="18"/>
          <w:szCs w:val="18"/>
        </w:rPr>
        <w:t>Plumhoff v. Rickard</w:t>
      </w:r>
      <w:r w:rsidRPr="009317A7">
        <w:rPr>
          <w:rFonts w:ascii="Garamond" w:hAnsi="Garamond"/>
          <w:sz w:val="18"/>
          <w:szCs w:val="18"/>
        </w:rPr>
        <w:t xml:space="preserve">, No. 12-1117, at 22, </w:t>
      </w:r>
      <w:r w:rsidRPr="009317A7">
        <w:rPr>
          <w:rFonts w:ascii="Garamond" w:hAnsi="Garamond"/>
          <w:i/>
          <w:sz w:val="18"/>
          <w:szCs w:val="18"/>
        </w:rPr>
        <w:t>available at</w:t>
      </w:r>
      <w:r w:rsidRPr="009317A7">
        <w:rPr>
          <w:rFonts w:ascii="Garamond" w:hAnsi="Garamond"/>
          <w:sz w:val="18"/>
          <w:szCs w:val="18"/>
        </w:rPr>
        <w:t xml:space="preserve"> http://www.supremecourt.gov/oral_arguments/argument_transcripts/12-1117_f2ag.pdf.</w:t>
      </w:r>
    </w:p>
  </w:footnote>
  <w:footnote w:id="24">
    <w:p w14:paraId="7BD9B982" w14:textId="77777777"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Case Page for </w:t>
      </w:r>
      <w:r w:rsidRPr="009317A7">
        <w:rPr>
          <w:rFonts w:ascii="Garamond" w:hAnsi="Garamond"/>
          <w:i/>
          <w:sz w:val="18"/>
          <w:szCs w:val="18"/>
        </w:rPr>
        <w:t>Tolan v. Cotton</w:t>
      </w:r>
      <w:r w:rsidRPr="009317A7">
        <w:rPr>
          <w:rFonts w:ascii="Garamond" w:hAnsi="Garamond"/>
          <w:sz w:val="18"/>
          <w:szCs w:val="18"/>
        </w:rPr>
        <w:t xml:space="preserve">, </w:t>
      </w:r>
      <w:r w:rsidRPr="009317A7">
        <w:rPr>
          <w:rFonts w:ascii="Garamond" w:hAnsi="Garamond"/>
          <w:smallCaps/>
          <w:sz w:val="18"/>
          <w:szCs w:val="18"/>
        </w:rPr>
        <w:t>SCOTUSBlog</w:t>
      </w:r>
      <w:r w:rsidRPr="009317A7">
        <w:rPr>
          <w:rFonts w:ascii="Garamond" w:hAnsi="Garamond"/>
          <w:sz w:val="18"/>
          <w:szCs w:val="18"/>
        </w:rPr>
        <w:t>, http://www.scotusblog.com/case-files/cases/tolan-v-cotton/.</w:t>
      </w:r>
    </w:p>
  </w:footnote>
  <w:footnote w:id="25">
    <w:p w14:paraId="6F286747" w14:textId="4E52110E"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Tolan v. Cotton, 134 S. Ct. 1861 (2014) (per curiam).</w:t>
      </w:r>
    </w:p>
  </w:footnote>
  <w:footnote w:id="26">
    <w:p w14:paraId="21F7C957" w14:textId="366DA74E"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Id.</w:t>
      </w:r>
      <w:r w:rsidRPr="009317A7">
        <w:rPr>
          <w:rFonts w:ascii="Garamond" w:hAnsi="Garamond"/>
          <w:sz w:val="18"/>
          <w:szCs w:val="18"/>
        </w:rPr>
        <w:t xml:space="preserve"> at 1863-64.</w:t>
      </w:r>
    </w:p>
  </w:footnote>
  <w:footnote w:id="27">
    <w:p w14:paraId="7B5B0A4C" w14:textId="50A71348"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Id.</w:t>
      </w:r>
      <w:r w:rsidRPr="009317A7">
        <w:rPr>
          <w:rFonts w:ascii="Garamond" w:hAnsi="Garamond"/>
          <w:sz w:val="18"/>
          <w:szCs w:val="18"/>
        </w:rPr>
        <w:t xml:space="preserve"> at 1864 n.1</w:t>
      </w:r>
    </w:p>
  </w:footnote>
  <w:footnote w:id="28">
    <w:p w14:paraId="14A86733" w14:textId="47FC4AB0"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Id.</w:t>
      </w:r>
      <w:r w:rsidRPr="009317A7">
        <w:rPr>
          <w:rFonts w:ascii="Garamond" w:hAnsi="Garamond"/>
          <w:sz w:val="18"/>
          <w:szCs w:val="18"/>
        </w:rPr>
        <w:t xml:space="preserve"> at 1865.</w:t>
      </w:r>
    </w:p>
  </w:footnote>
  <w:footnote w:id="29">
    <w:p w14:paraId="1473D454" w14:textId="4B8DB349"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Anderson v. Creighton, 483 U.S. 635, 639-41 (1987).</w:t>
      </w:r>
    </w:p>
  </w:footnote>
  <w:footnote w:id="30">
    <w:p w14:paraId="243E8E03" w14:textId="4241B7F1"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Tolan</w:t>
      </w:r>
      <w:r w:rsidRPr="009317A7">
        <w:rPr>
          <w:rFonts w:ascii="Garamond" w:hAnsi="Garamond"/>
          <w:sz w:val="18"/>
          <w:szCs w:val="18"/>
        </w:rPr>
        <w:t>, 134 S. Ct. at 1866.</w:t>
      </w:r>
    </w:p>
  </w:footnote>
  <w:footnote w:id="31">
    <w:p w14:paraId="12AE6776" w14:textId="77777777"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Id.</w:t>
      </w:r>
      <w:r w:rsidRPr="009317A7">
        <w:rPr>
          <w:rFonts w:ascii="Garamond" w:hAnsi="Garamond"/>
          <w:sz w:val="18"/>
          <w:szCs w:val="18"/>
        </w:rPr>
        <w:t xml:space="preserve"> at 1866-68.</w:t>
      </w:r>
    </w:p>
  </w:footnote>
  <w:footnote w:id="32">
    <w:p w14:paraId="366A8254" w14:textId="5DCA8090"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Id.</w:t>
      </w:r>
    </w:p>
  </w:footnote>
  <w:footnote w:id="33">
    <w:p w14:paraId="24322F3A" w14:textId="54C582C5"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Id.</w:t>
      </w:r>
      <w:r w:rsidRPr="009317A7">
        <w:rPr>
          <w:rFonts w:ascii="Garamond" w:hAnsi="Garamond"/>
          <w:sz w:val="18"/>
          <w:szCs w:val="18"/>
        </w:rPr>
        <w:t xml:space="preserve"> at 1868.</w:t>
      </w:r>
    </w:p>
  </w:footnote>
  <w:footnote w:id="34">
    <w:p w14:paraId="3879D9C2" w14:textId="7205F2D1"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Thomas v. Nugent, 134 S. Ct. 2289 (2014).</w:t>
      </w:r>
    </w:p>
  </w:footnote>
  <w:footnote w:id="35">
    <w:p w14:paraId="527699EB" w14:textId="45B84F0D"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Thomas v. Nugent, 539 Fed.Appx. 456, 456-57 (5th Cir. 2013) (per curiam).</w:t>
      </w:r>
    </w:p>
  </w:footnote>
  <w:footnote w:id="36">
    <w:p w14:paraId="1BCFCAB4" w14:textId="6354E32A"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Id.</w:t>
      </w:r>
      <w:r w:rsidRPr="009317A7">
        <w:rPr>
          <w:rFonts w:ascii="Garamond" w:hAnsi="Garamond"/>
          <w:sz w:val="18"/>
          <w:szCs w:val="18"/>
        </w:rPr>
        <w:t xml:space="preserve"> at 459.</w:t>
      </w:r>
    </w:p>
  </w:footnote>
  <w:footnote w:id="37">
    <w:p w14:paraId="1C14B0F1" w14:textId="77777777"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Id.</w:t>
      </w:r>
      <w:r w:rsidRPr="009317A7">
        <w:rPr>
          <w:rFonts w:ascii="Garamond" w:hAnsi="Garamond"/>
          <w:sz w:val="18"/>
          <w:szCs w:val="18"/>
        </w:rPr>
        <w:t xml:space="preserve"> at 461.</w:t>
      </w:r>
    </w:p>
  </w:footnote>
  <w:footnote w:id="38">
    <w:p w14:paraId="16A2F744" w14:textId="77777777"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Id.</w:t>
      </w:r>
      <w:r w:rsidRPr="009317A7">
        <w:rPr>
          <w:rFonts w:ascii="Garamond" w:hAnsi="Garamond"/>
          <w:sz w:val="18"/>
          <w:szCs w:val="18"/>
        </w:rPr>
        <w:t xml:space="preserve"> at 461.</w:t>
      </w:r>
    </w:p>
  </w:footnote>
  <w:footnote w:id="39">
    <w:p w14:paraId="1238A074" w14:textId="24538C3A"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Thomas v. City of Winnfield</w:t>
      </w:r>
      <w:r w:rsidRPr="009317A7">
        <w:rPr>
          <w:rFonts w:ascii="Garamond" w:hAnsi="Garamond"/>
          <w:sz w:val="18"/>
          <w:szCs w:val="18"/>
        </w:rPr>
        <w:t>, 2012 WL 1255265, *10 (W.D. La. 2012).</w:t>
      </w:r>
    </w:p>
  </w:footnote>
  <w:footnote w:id="40">
    <w:p w14:paraId="2DA11361" w14:textId="3CCF7E17"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Ed Brunet and John Parry, </w:t>
      </w:r>
      <w:r w:rsidRPr="009317A7">
        <w:rPr>
          <w:rFonts w:ascii="Garamond" w:hAnsi="Garamond"/>
          <w:i/>
          <w:sz w:val="18"/>
          <w:szCs w:val="18"/>
        </w:rPr>
        <w:t xml:space="preserve">Guest Post: Brunet and Parry on </w:t>
      </w:r>
      <w:r w:rsidRPr="009317A7">
        <w:rPr>
          <w:rFonts w:ascii="Garamond" w:hAnsi="Garamond"/>
          <w:sz w:val="18"/>
          <w:szCs w:val="18"/>
        </w:rPr>
        <w:t>Tolan v. Cotton</w:t>
      </w:r>
      <w:r w:rsidRPr="009317A7">
        <w:rPr>
          <w:rFonts w:ascii="Garamond" w:hAnsi="Garamond"/>
          <w:i/>
          <w:sz w:val="18"/>
          <w:szCs w:val="18"/>
        </w:rPr>
        <w:t xml:space="preserve">, </w:t>
      </w:r>
      <w:r w:rsidRPr="009317A7">
        <w:rPr>
          <w:rFonts w:ascii="Garamond" w:hAnsi="Garamond"/>
          <w:smallCaps/>
          <w:sz w:val="18"/>
          <w:szCs w:val="18"/>
        </w:rPr>
        <w:t>Civil Procedure &amp; Federal Courts Blog</w:t>
      </w:r>
      <w:r w:rsidRPr="009317A7">
        <w:rPr>
          <w:rFonts w:ascii="Garamond" w:hAnsi="Garamond"/>
          <w:sz w:val="18"/>
          <w:szCs w:val="18"/>
        </w:rPr>
        <w:t>, May 8, 2014, http://lawprofessors.typepad.com/civpro/2014/05/guest-post-brunet-and-parry-on-tolan-v-cotton.html.</w:t>
      </w:r>
    </w:p>
  </w:footnote>
  <w:footnote w:id="41">
    <w:p w14:paraId="6530AD75" w14:textId="60AB0F67"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Tolan</w:t>
      </w:r>
      <w:r w:rsidRPr="009317A7">
        <w:rPr>
          <w:rFonts w:ascii="Garamond" w:hAnsi="Garamond"/>
          <w:sz w:val="18"/>
          <w:szCs w:val="18"/>
        </w:rPr>
        <w:t>, 134 S. Ct. at 1868.</w:t>
      </w:r>
    </w:p>
  </w:footnote>
  <w:footnote w:id="42">
    <w:p w14:paraId="3D7EEBF7" w14:textId="77777777"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Adickes v. S.H. Kress &amp; Co., 398 U.S. 144, 176 (1970) (Black, J., concurring in the judgment).</w:t>
      </w:r>
    </w:p>
  </w:footnote>
  <w:footnote w:id="43">
    <w:p w14:paraId="039FE957" w14:textId="11BE18C9"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Brunet &amp; Parry, </w:t>
      </w:r>
      <w:r w:rsidRPr="009317A7">
        <w:rPr>
          <w:rFonts w:ascii="Garamond" w:hAnsi="Garamond"/>
          <w:i/>
          <w:sz w:val="18"/>
          <w:szCs w:val="18"/>
        </w:rPr>
        <w:t>supra</w:t>
      </w:r>
      <w:r w:rsidRPr="009317A7">
        <w:rPr>
          <w:rFonts w:ascii="Garamond" w:hAnsi="Garamond"/>
          <w:sz w:val="18"/>
          <w:szCs w:val="18"/>
        </w:rPr>
        <w:t xml:space="preserve"> note ___.</w:t>
      </w:r>
    </w:p>
  </w:footnote>
  <w:footnote w:id="44">
    <w:p w14:paraId="79DC4BEA" w14:textId="4812B27D"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Tolan</w:t>
      </w:r>
      <w:r w:rsidRPr="009317A7">
        <w:rPr>
          <w:rFonts w:ascii="Garamond" w:hAnsi="Garamond"/>
          <w:sz w:val="18"/>
          <w:szCs w:val="18"/>
        </w:rPr>
        <w:t>, 134 S. Ct at 1868.</w:t>
      </w:r>
    </w:p>
  </w:footnote>
  <w:footnote w:id="45">
    <w:p w14:paraId="612F1CAF" w14:textId="66293065"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Or, as one anonymous blog commentator put it, “</w:t>
      </w:r>
      <w:r w:rsidRPr="009317A7">
        <w:rPr>
          <w:rFonts w:ascii="Garamond" w:eastAsia="Times New Roman" w:hAnsi="Garamond" w:cs="Times New Roman"/>
          <w:sz w:val="18"/>
          <w:szCs w:val="18"/>
        </w:rPr>
        <w:t xml:space="preserve">So if the holding of </w:t>
      </w:r>
      <w:r w:rsidRPr="009317A7">
        <w:rPr>
          <w:rStyle w:val="Emphasis"/>
          <w:rFonts w:ascii="Garamond" w:eastAsia="Times New Roman" w:hAnsi="Garamond" w:cs="Times New Roman"/>
          <w:sz w:val="18"/>
          <w:szCs w:val="18"/>
        </w:rPr>
        <w:t>Tolan</w:t>
      </w:r>
      <w:r w:rsidRPr="009317A7">
        <w:rPr>
          <w:rFonts w:ascii="Garamond" w:eastAsia="Times New Roman" w:hAnsi="Garamond" w:cs="Times New Roman"/>
          <w:sz w:val="18"/>
          <w:szCs w:val="18"/>
        </w:rPr>
        <w:t xml:space="preserve"> is ‘remember the basic concept of summary judgment, dummy,’ then </w:t>
      </w:r>
      <w:r w:rsidRPr="009317A7">
        <w:rPr>
          <w:rStyle w:val="Emphasis"/>
          <w:rFonts w:ascii="Garamond" w:eastAsia="Times New Roman" w:hAnsi="Garamond" w:cs="Times New Roman"/>
          <w:sz w:val="18"/>
          <w:szCs w:val="18"/>
        </w:rPr>
        <w:t>Thomas v Nugent</w:t>
      </w:r>
      <w:r w:rsidRPr="009317A7">
        <w:rPr>
          <w:rFonts w:ascii="Garamond" w:eastAsia="Times New Roman" w:hAnsi="Garamond" w:cs="Times New Roman"/>
          <w:sz w:val="18"/>
          <w:szCs w:val="18"/>
        </w:rPr>
        <w:t xml:space="preserve"> seems to stand for the proposition ‘you probably did it again, dummy, but your work was so sloppy that we're not even going to check it until you rewrite it.’” </w:t>
      </w:r>
      <w:r w:rsidRPr="009317A7">
        <w:rPr>
          <w:rFonts w:ascii="Garamond" w:eastAsia="Times New Roman" w:hAnsi="Garamond" w:cs="Times New Roman"/>
          <w:i/>
          <w:sz w:val="18"/>
          <w:szCs w:val="18"/>
        </w:rPr>
        <w:t>See</w:t>
      </w:r>
      <w:r w:rsidRPr="009317A7">
        <w:rPr>
          <w:rFonts w:ascii="Garamond" w:eastAsia="Times New Roman" w:hAnsi="Garamond" w:cs="Times New Roman"/>
          <w:sz w:val="18"/>
          <w:szCs w:val="18"/>
        </w:rPr>
        <w:t xml:space="preserve"> Howard Wasserman, </w:t>
      </w:r>
      <w:r w:rsidRPr="009317A7">
        <w:rPr>
          <w:rFonts w:ascii="Garamond" w:eastAsia="Times New Roman" w:hAnsi="Garamond" w:cs="Times New Roman"/>
          <w:i/>
          <w:sz w:val="18"/>
          <w:szCs w:val="18"/>
        </w:rPr>
        <w:t>Two procedural cases of note</w:t>
      </w:r>
      <w:r w:rsidRPr="009317A7">
        <w:rPr>
          <w:rFonts w:ascii="Garamond" w:eastAsia="Times New Roman" w:hAnsi="Garamond" w:cs="Times New Roman"/>
          <w:sz w:val="18"/>
          <w:szCs w:val="18"/>
        </w:rPr>
        <w:t xml:space="preserve">, </w:t>
      </w:r>
      <w:r w:rsidRPr="009317A7">
        <w:rPr>
          <w:rFonts w:ascii="Garamond" w:eastAsia="Times New Roman" w:hAnsi="Garamond" w:cs="Times New Roman"/>
          <w:smallCaps/>
          <w:sz w:val="18"/>
          <w:szCs w:val="18"/>
        </w:rPr>
        <w:t>PrawfsBlawg</w:t>
      </w:r>
      <w:r w:rsidRPr="009317A7">
        <w:rPr>
          <w:rFonts w:ascii="Garamond" w:eastAsia="Times New Roman" w:hAnsi="Garamond" w:cs="Times New Roman"/>
          <w:sz w:val="18"/>
          <w:szCs w:val="18"/>
        </w:rPr>
        <w:t>, May 20, 2014, http://prawfsblawg.blogs.com/prawfsblawg/2014/05/two-procedural-cases-of-note.html.</w:t>
      </w:r>
    </w:p>
  </w:footnote>
  <w:footnote w:id="46">
    <w:p w14:paraId="25364A06" w14:textId="76938732"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Tolan</w:t>
      </w:r>
      <w:r w:rsidRPr="009317A7">
        <w:rPr>
          <w:rFonts w:ascii="Garamond" w:hAnsi="Garamond"/>
          <w:sz w:val="18"/>
          <w:szCs w:val="18"/>
        </w:rPr>
        <w:t xml:space="preserve">, 134 S. Ct. at 1868 (Alito, J., joined by Scalia, J., concurring in the judgment). Alito was careful to insist that he was not dissenting from the grant of cert itself, which is not a decision on which justices customarily dissent. </w:t>
      </w:r>
      <w:r w:rsidRPr="009317A7">
        <w:rPr>
          <w:rFonts w:ascii="Garamond" w:hAnsi="Garamond"/>
          <w:i/>
          <w:sz w:val="18"/>
          <w:szCs w:val="18"/>
        </w:rPr>
        <w:t>Id.</w:t>
      </w:r>
    </w:p>
  </w:footnote>
  <w:footnote w:id="47">
    <w:p w14:paraId="70A6EAAC" w14:textId="43267F86"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U.S. Bancorp Mortg. Co. v. Bonner Mall Partnership, 513 U.S. 18, 24 (1994); Gray v. Mississippi, 481 U.S. 648, 651 n.1 (1987); Edelman v. Jordan, 415 U.S. 651, 671 (1974).</w:t>
      </w:r>
    </w:p>
  </w:footnote>
  <w:footnote w:id="48">
    <w:p w14:paraId="63950FA2" w14:textId="2C65A003"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See, e.g.</w:t>
      </w:r>
      <w:r w:rsidRPr="009317A7">
        <w:rPr>
          <w:rFonts w:ascii="Garamond" w:hAnsi="Garamond"/>
          <w:sz w:val="18"/>
          <w:szCs w:val="18"/>
        </w:rPr>
        <w:t>, Bush v. Gore, 531 U.S. 98 (2000) (per curiam); Buckley v. Valeo, 424 U.S. 1 (1976) (per curiam); Brandenburg v. Ohio, 395 U.S. 444 (1969) (per curiam).</w:t>
      </w:r>
    </w:p>
  </w:footnote>
  <w:footnote w:id="49">
    <w:p w14:paraId="6DA1009D" w14:textId="37F30DD5"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Brosseau v. Haugen, 543 U.S. 194, 198 n.3 (2005) (per curiam).</w:t>
      </w:r>
    </w:p>
  </w:footnote>
  <w:footnote w:id="50">
    <w:p w14:paraId="542F14F6" w14:textId="6EEF1722"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Lawrence on Behalf of Lawrence v. Chater, 516 U.S. 163, 167 (1996) (per curiam); </w:t>
      </w:r>
      <w:r w:rsidRPr="009317A7">
        <w:rPr>
          <w:rFonts w:ascii="Garamond" w:hAnsi="Garamond"/>
          <w:i/>
          <w:sz w:val="18"/>
          <w:szCs w:val="18"/>
        </w:rPr>
        <w:t>cf.</w:t>
      </w:r>
      <w:r w:rsidRPr="009317A7">
        <w:rPr>
          <w:rFonts w:ascii="Garamond" w:hAnsi="Garamond"/>
          <w:sz w:val="18"/>
          <w:szCs w:val="18"/>
        </w:rPr>
        <w:t xml:space="preserve"> Aaron-Andrew P. Bruhl, </w:t>
      </w:r>
      <w:r w:rsidRPr="009317A7">
        <w:rPr>
          <w:rFonts w:ascii="Garamond" w:hAnsi="Garamond"/>
          <w:i/>
          <w:sz w:val="18"/>
          <w:szCs w:val="18"/>
        </w:rPr>
        <w:t>The Supreme Court’s Controversial GVRS--And an Alternative</w:t>
      </w:r>
      <w:r w:rsidRPr="009317A7">
        <w:rPr>
          <w:rFonts w:ascii="Garamond" w:hAnsi="Garamond"/>
          <w:sz w:val="18"/>
          <w:szCs w:val="18"/>
        </w:rPr>
        <w:t xml:space="preserve">, 107 </w:t>
      </w:r>
      <w:r w:rsidRPr="009317A7">
        <w:rPr>
          <w:rFonts w:ascii="Garamond" w:hAnsi="Garamond"/>
          <w:smallCaps/>
          <w:sz w:val="18"/>
          <w:szCs w:val="18"/>
        </w:rPr>
        <w:t>Mich. L. Rev</w:t>
      </w:r>
      <w:r w:rsidRPr="009317A7">
        <w:rPr>
          <w:rFonts w:ascii="Garamond" w:hAnsi="Garamond"/>
          <w:sz w:val="18"/>
          <w:szCs w:val="18"/>
        </w:rPr>
        <w:t>. 711, 712 (2009).</w:t>
      </w:r>
    </w:p>
  </w:footnote>
  <w:footnote w:id="51">
    <w:p w14:paraId="590BAA86" w14:textId="7F737DD8"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Bruhl, </w:t>
      </w:r>
      <w:r w:rsidRPr="009317A7">
        <w:rPr>
          <w:rFonts w:ascii="Garamond" w:hAnsi="Garamond"/>
          <w:i/>
          <w:sz w:val="18"/>
          <w:szCs w:val="18"/>
        </w:rPr>
        <w:t>supra</w:t>
      </w:r>
      <w:r w:rsidRPr="009317A7">
        <w:rPr>
          <w:rFonts w:ascii="Garamond" w:hAnsi="Garamond"/>
          <w:sz w:val="18"/>
          <w:szCs w:val="18"/>
        </w:rPr>
        <w:t xml:space="preserve"> note ___, at 712.</w:t>
      </w:r>
    </w:p>
  </w:footnote>
  <w:footnote w:id="52">
    <w:p w14:paraId="7024E583" w14:textId="53458260"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Lawrence</w:t>
      </w:r>
      <w:r w:rsidRPr="009317A7">
        <w:rPr>
          <w:rFonts w:ascii="Garamond" w:hAnsi="Garamond"/>
          <w:sz w:val="18"/>
          <w:szCs w:val="18"/>
        </w:rPr>
        <w:t>, 516 U.S. at 168.</w:t>
      </w:r>
    </w:p>
  </w:footnote>
  <w:footnote w:id="53">
    <w:p w14:paraId="1E8E42F0" w14:textId="2D151798"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Bruhl, </w:t>
      </w:r>
      <w:r w:rsidRPr="009317A7">
        <w:rPr>
          <w:rFonts w:ascii="Garamond" w:hAnsi="Garamond"/>
          <w:i/>
          <w:sz w:val="18"/>
          <w:szCs w:val="18"/>
        </w:rPr>
        <w:t>supra</w:t>
      </w:r>
      <w:r w:rsidRPr="009317A7">
        <w:rPr>
          <w:rFonts w:ascii="Garamond" w:hAnsi="Garamond"/>
          <w:sz w:val="18"/>
          <w:szCs w:val="18"/>
        </w:rPr>
        <w:t xml:space="preserve"> note ___, at 712.</w:t>
      </w:r>
    </w:p>
  </w:footnote>
  <w:footnote w:id="54">
    <w:p w14:paraId="496A246C" w14:textId="01FA9FAF"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Id.</w:t>
      </w:r>
      <w:r w:rsidRPr="009317A7">
        <w:rPr>
          <w:rFonts w:ascii="Garamond" w:hAnsi="Garamond"/>
          <w:sz w:val="18"/>
          <w:szCs w:val="18"/>
        </w:rPr>
        <w:t xml:space="preserve"> at 717.</w:t>
      </w:r>
    </w:p>
  </w:footnote>
  <w:footnote w:id="55">
    <w:p w14:paraId="17A76611" w14:textId="70CB69FE"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Id.</w:t>
      </w:r>
      <w:r w:rsidRPr="009317A7">
        <w:rPr>
          <w:rFonts w:ascii="Garamond" w:hAnsi="Garamond"/>
          <w:sz w:val="18"/>
          <w:szCs w:val="18"/>
        </w:rPr>
        <w:t xml:space="preserve"> at 717 &amp; n.19; </w:t>
      </w:r>
      <w:r w:rsidRPr="009317A7">
        <w:rPr>
          <w:rFonts w:ascii="Garamond" w:hAnsi="Garamond"/>
          <w:i/>
          <w:sz w:val="18"/>
          <w:szCs w:val="18"/>
        </w:rPr>
        <w:t>see, e.g.</w:t>
      </w:r>
      <w:r w:rsidRPr="009317A7">
        <w:rPr>
          <w:rFonts w:ascii="Garamond" w:hAnsi="Garamond"/>
          <w:sz w:val="18"/>
          <w:szCs w:val="18"/>
        </w:rPr>
        <w:t>, Ash v. Tyson Foods, 564 U.S. 454, 456 (1996).</w:t>
      </w:r>
    </w:p>
  </w:footnote>
  <w:footnote w:id="56">
    <w:p w14:paraId="1706442D" w14:textId="3B641E84"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Tolan</w:t>
      </w:r>
      <w:r w:rsidRPr="009317A7">
        <w:rPr>
          <w:rFonts w:ascii="Garamond" w:hAnsi="Garamond"/>
          <w:sz w:val="18"/>
          <w:szCs w:val="18"/>
        </w:rPr>
        <w:t xml:space="preserve">, 134 S. Ct. at 1868; </w:t>
      </w:r>
      <w:r w:rsidRPr="009317A7">
        <w:rPr>
          <w:rFonts w:ascii="Garamond" w:hAnsi="Garamond"/>
          <w:i/>
          <w:sz w:val="18"/>
          <w:szCs w:val="18"/>
        </w:rPr>
        <w:t>compare</w:t>
      </w:r>
      <w:r w:rsidRPr="009317A7">
        <w:rPr>
          <w:rFonts w:ascii="Garamond" w:hAnsi="Garamond"/>
          <w:sz w:val="18"/>
          <w:szCs w:val="18"/>
        </w:rPr>
        <w:t xml:space="preserve"> Stanton v. Sims, 134 S. Ct. 3, ___ (2013) (granting certiorari, reversing, and remanding in a Fourth Amendment excessive force case, where any right was not clearly established, regardless of whether a violation had occurred).</w:t>
      </w:r>
    </w:p>
  </w:footnote>
  <w:footnote w:id="57">
    <w:p w14:paraId="6E87057B" w14:textId="5F36380C"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Bruhl, </w:t>
      </w:r>
      <w:r w:rsidRPr="009317A7">
        <w:rPr>
          <w:rFonts w:ascii="Garamond" w:hAnsi="Garamond"/>
          <w:i/>
          <w:sz w:val="18"/>
          <w:szCs w:val="18"/>
        </w:rPr>
        <w:t>supra</w:t>
      </w:r>
      <w:r w:rsidRPr="009317A7">
        <w:rPr>
          <w:rFonts w:ascii="Garamond" w:hAnsi="Garamond"/>
          <w:sz w:val="18"/>
          <w:szCs w:val="18"/>
        </w:rPr>
        <w:t xml:space="preserve"> note ___, at 717 (defining similar cases as summary reversals rather than GVRs).</w:t>
      </w:r>
    </w:p>
  </w:footnote>
  <w:footnote w:id="58">
    <w:p w14:paraId="01F1888B" w14:textId="57115D1B"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i/>
          <w:sz w:val="18"/>
          <w:szCs w:val="18"/>
        </w:rPr>
        <w:t>Cf.</w:t>
      </w:r>
      <w:r w:rsidRPr="009317A7">
        <w:rPr>
          <w:rFonts w:ascii="Garamond" w:hAnsi="Garamond"/>
          <w:sz w:val="18"/>
          <w:szCs w:val="18"/>
        </w:rPr>
        <w:t xml:space="preserve"> </w:t>
      </w:r>
      <w:r w:rsidRPr="009317A7">
        <w:rPr>
          <w:rFonts w:ascii="Garamond" w:hAnsi="Garamond"/>
          <w:i/>
          <w:sz w:val="18"/>
          <w:szCs w:val="18"/>
        </w:rPr>
        <w:t>Tolan</w:t>
      </w:r>
      <w:r w:rsidRPr="009317A7">
        <w:rPr>
          <w:rFonts w:ascii="Garamond" w:hAnsi="Garamond"/>
          <w:sz w:val="18"/>
          <w:szCs w:val="18"/>
        </w:rPr>
        <w:t>, 134 S. Ct. at 1866-68.</w:t>
      </w:r>
    </w:p>
  </w:footnote>
  <w:footnote w:id="59">
    <w:p w14:paraId="02F7616D" w14:textId="43AA1DF6"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Wood v. Moss, 134 S. Ct. 2056, 2069 (2014).</w:t>
      </w:r>
    </w:p>
  </w:footnote>
  <w:footnote w:id="60">
    <w:p w14:paraId="48101C83" w14:textId="3F059382" w:rsidR="00EE252D" w:rsidRPr="009317A7" w:rsidRDefault="00EE252D"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Tolan v. Cotton, ___ Fed.Appx. ___ (5th Cir. June 17, 2014) (holding that defendant was not entitled to summary judgment on qualified immunity grounds from the excessive force claim and remanding to the district court).</w:t>
      </w:r>
    </w:p>
  </w:footnote>
  <w:footnote w:id="61">
    <w:p w14:paraId="2CC5FE68" w14:textId="1FAEA57C" w:rsidR="009317A7" w:rsidRPr="009317A7" w:rsidRDefault="009317A7" w:rsidP="009317A7">
      <w:pPr>
        <w:pStyle w:val="FootnoteText"/>
        <w:ind w:firstLine="360"/>
        <w:rPr>
          <w:rFonts w:ascii="Garamond" w:hAnsi="Garamond"/>
          <w:sz w:val="18"/>
          <w:szCs w:val="18"/>
        </w:rPr>
      </w:pPr>
      <w:r w:rsidRPr="009317A7">
        <w:rPr>
          <w:rStyle w:val="FootnoteReference"/>
          <w:rFonts w:ascii="Garamond" w:hAnsi="Garamond"/>
          <w:sz w:val="18"/>
          <w:szCs w:val="18"/>
        </w:rPr>
        <w:footnoteRef/>
      </w:r>
      <w:r w:rsidRPr="009317A7">
        <w:rPr>
          <w:rFonts w:ascii="Garamond" w:hAnsi="Garamond"/>
          <w:sz w:val="18"/>
          <w:szCs w:val="18"/>
        </w:rPr>
        <w:t xml:space="preserve"> </w:t>
      </w:r>
      <w:r w:rsidRPr="009317A7">
        <w:rPr>
          <w:rFonts w:ascii="Garamond" w:hAnsi="Garamond"/>
          <w:sz w:val="18"/>
          <w:szCs w:val="18"/>
        </w:rPr>
        <w:t xml:space="preserve">Thomas v. Nugent, ___ Fed.Appx. ___ (5th Cir. July 1, 2014) (remanding to district court for reconsideration in light of Supreme Court decision in </w:t>
      </w:r>
      <w:r w:rsidRPr="009317A7">
        <w:rPr>
          <w:rFonts w:ascii="Garamond" w:hAnsi="Garamond"/>
          <w:i/>
          <w:sz w:val="18"/>
          <w:szCs w:val="18"/>
        </w:rPr>
        <w:t>Tolan</w:t>
      </w:r>
      <w:r>
        <w:rPr>
          <w:rFonts w:ascii="Garamond" w:hAnsi="Garamond"/>
          <w:sz w:val="18"/>
          <w:szCs w:val="18"/>
        </w:rPr>
        <w:t>).</w:t>
      </w:r>
      <w:bookmarkStart w:id="0" w:name="_GoBack"/>
      <w:bookmarkEnd w:id="0"/>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A1AB0C" w14:textId="77777777" w:rsidR="00EE252D" w:rsidRDefault="00EE252D" w:rsidP="00386B4F">
    <w:pPr>
      <w:pStyle w:val="Header"/>
      <w:jc w:val="center"/>
      <w:rPr>
        <w:b/>
        <w:i/>
      </w:rPr>
    </w:pPr>
    <w:r>
      <w:rPr>
        <w:b/>
        <w:i/>
      </w:rPr>
      <w:t>Draft</w:t>
    </w:r>
  </w:p>
  <w:p w14:paraId="602B8F8C" w14:textId="77777777" w:rsidR="00EE252D" w:rsidRPr="00386B4F" w:rsidRDefault="00EE252D" w:rsidP="00386B4F">
    <w:pPr>
      <w:pStyle w:val="Header"/>
      <w:jc w:val="center"/>
      <w:rPr>
        <w:b/>
        <w:i/>
      </w:rPr>
    </w:pPr>
    <w:r>
      <w:rPr>
        <w:b/>
        <w:i/>
      </w:rPr>
      <w:t>Do not cite or distribute without author’s consent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attachedTemplate r:id="rId1"/>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84B"/>
    <w:rsid w:val="00001AE2"/>
    <w:rsid w:val="00002084"/>
    <w:rsid w:val="000020C6"/>
    <w:rsid w:val="00002EBB"/>
    <w:rsid w:val="00003715"/>
    <w:rsid w:val="00004B0E"/>
    <w:rsid w:val="00005A21"/>
    <w:rsid w:val="000069F4"/>
    <w:rsid w:val="00006C6B"/>
    <w:rsid w:val="0001205A"/>
    <w:rsid w:val="000145A2"/>
    <w:rsid w:val="00014B00"/>
    <w:rsid w:val="00014D73"/>
    <w:rsid w:val="0001725E"/>
    <w:rsid w:val="00020346"/>
    <w:rsid w:val="00020C81"/>
    <w:rsid w:val="00021B69"/>
    <w:rsid w:val="000220F5"/>
    <w:rsid w:val="00022385"/>
    <w:rsid w:val="00024654"/>
    <w:rsid w:val="00024E59"/>
    <w:rsid w:val="00026226"/>
    <w:rsid w:val="0002625A"/>
    <w:rsid w:val="00026453"/>
    <w:rsid w:val="0003007C"/>
    <w:rsid w:val="00031A63"/>
    <w:rsid w:val="00033CA5"/>
    <w:rsid w:val="00033D31"/>
    <w:rsid w:val="00033DED"/>
    <w:rsid w:val="00034A39"/>
    <w:rsid w:val="00034EC9"/>
    <w:rsid w:val="000406EF"/>
    <w:rsid w:val="00041C95"/>
    <w:rsid w:val="00042071"/>
    <w:rsid w:val="00044DFD"/>
    <w:rsid w:val="000461F0"/>
    <w:rsid w:val="00046EF0"/>
    <w:rsid w:val="00046FB8"/>
    <w:rsid w:val="00047303"/>
    <w:rsid w:val="000475F2"/>
    <w:rsid w:val="000500D3"/>
    <w:rsid w:val="00053416"/>
    <w:rsid w:val="00053D36"/>
    <w:rsid w:val="00053E6D"/>
    <w:rsid w:val="00054033"/>
    <w:rsid w:val="00054F02"/>
    <w:rsid w:val="00055A16"/>
    <w:rsid w:val="00055FB8"/>
    <w:rsid w:val="000569D0"/>
    <w:rsid w:val="00057BBD"/>
    <w:rsid w:val="00057FBC"/>
    <w:rsid w:val="00060572"/>
    <w:rsid w:val="00060E9E"/>
    <w:rsid w:val="000610B0"/>
    <w:rsid w:val="000623E9"/>
    <w:rsid w:val="000624F8"/>
    <w:rsid w:val="00063B46"/>
    <w:rsid w:val="00064282"/>
    <w:rsid w:val="0006496D"/>
    <w:rsid w:val="0006505F"/>
    <w:rsid w:val="00065322"/>
    <w:rsid w:val="00065C4F"/>
    <w:rsid w:val="00065EA1"/>
    <w:rsid w:val="00066AB7"/>
    <w:rsid w:val="000671C0"/>
    <w:rsid w:val="00067C09"/>
    <w:rsid w:val="00070E3D"/>
    <w:rsid w:val="000716CC"/>
    <w:rsid w:val="00071853"/>
    <w:rsid w:val="00071D05"/>
    <w:rsid w:val="000727F7"/>
    <w:rsid w:val="00072892"/>
    <w:rsid w:val="00072AB5"/>
    <w:rsid w:val="0007369A"/>
    <w:rsid w:val="00073889"/>
    <w:rsid w:val="00073A2B"/>
    <w:rsid w:val="00073BFE"/>
    <w:rsid w:val="00073CAA"/>
    <w:rsid w:val="0007415B"/>
    <w:rsid w:val="00074212"/>
    <w:rsid w:val="00074C68"/>
    <w:rsid w:val="0007516D"/>
    <w:rsid w:val="0007552A"/>
    <w:rsid w:val="00076745"/>
    <w:rsid w:val="000777A3"/>
    <w:rsid w:val="0008038C"/>
    <w:rsid w:val="00080744"/>
    <w:rsid w:val="000809EE"/>
    <w:rsid w:val="00080C24"/>
    <w:rsid w:val="00081AC4"/>
    <w:rsid w:val="00083676"/>
    <w:rsid w:val="00083A17"/>
    <w:rsid w:val="00083A5D"/>
    <w:rsid w:val="00083CC5"/>
    <w:rsid w:val="00083E73"/>
    <w:rsid w:val="0008400A"/>
    <w:rsid w:val="00084F41"/>
    <w:rsid w:val="000871CD"/>
    <w:rsid w:val="00087304"/>
    <w:rsid w:val="000875E4"/>
    <w:rsid w:val="00090869"/>
    <w:rsid w:val="000914B3"/>
    <w:rsid w:val="00091A07"/>
    <w:rsid w:val="00091D7F"/>
    <w:rsid w:val="00092502"/>
    <w:rsid w:val="0009275B"/>
    <w:rsid w:val="00092F93"/>
    <w:rsid w:val="00093153"/>
    <w:rsid w:val="0009492B"/>
    <w:rsid w:val="00094D91"/>
    <w:rsid w:val="00096198"/>
    <w:rsid w:val="0009626A"/>
    <w:rsid w:val="00096596"/>
    <w:rsid w:val="00096EE7"/>
    <w:rsid w:val="0009703C"/>
    <w:rsid w:val="00097943"/>
    <w:rsid w:val="000A0091"/>
    <w:rsid w:val="000A02A4"/>
    <w:rsid w:val="000A10C1"/>
    <w:rsid w:val="000A10C4"/>
    <w:rsid w:val="000A1706"/>
    <w:rsid w:val="000A202B"/>
    <w:rsid w:val="000A22FB"/>
    <w:rsid w:val="000A299D"/>
    <w:rsid w:val="000A29C4"/>
    <w:rsid w:val="000A2C4E"/>
    <w:rsid w:val="000A4637"/>
    <w:rsid w:val="000A4D5D"/>
    <w:rsid w:val="000A5B87"/>
    <w:rsid w:val="000A5C48"/>
    <w:rsid w:val="000A6757"/>
    <w:rsid w:val="000A7416"/>
    <w:rsid w:val="000B0A36"/>
    <w:rsid w:val="000B0B53"/>
    <w:rsid w:val="000B0EF5"/>
    <w:rsid w:val="000B2CCE"/>
    <w:rsid w:val="000B3A39"/>
    <w:rsid w:val="000B4151"/>
    <w:rsid w:val="000B4C63"/>
    <w:rsid w:val="000B5AC8"/>
    <w:rsid w:val="000B5CB9"/>
    <w:rsid w:val="000B6A06"/>
    <w:rsid w:val="000B7E78"/>
    <w:rsid w:val="000B7F2A"/>
    <w:rsid w:val="000C011B"/>
    <w:rsid w:val="000C03F9"/>
    <w:rsid w:val="000C0E54"/>
    <w:rsid w:val="000C14DF"/>
    <w:rsid w:val="000C175D"/>
    <w:rsid w:val="000C1CF3"/>
    <w:rsid w:val="000C28C6"/>
    <w:rsid w:val="000C299A"/>
    <w:rsid w:val="000C2C55"/>
    <w:rsid w:val="000C6CDB"/>
    <w:rsid w:val="000C7340"/>
    <w:rsid w:val="000D08A1"/>
    <w:rsid w:val="000D097B"/>
    <w:rsid w:val="000D0E9D"/>
    <w:rsid w:val="000D1121"/>
    <w:rsid w:val="000D1524"/>
    <w:rsid w:val="000D355D"/>
    <w:rsid w:val="000D3A17"/>
    <w:rsid w:val="000D4F71"/>
    <w:rsid w:val="000D5AB8"/>
    <w:rsid w:val="000D6375"/>
    <w:rsid w:val="000D6603"/>
    <w:rsid w:val="000E0652"/>
    <w:rsid w:val="000E1D1C"/>
    <w:rsid w:val="000E2C8A"/>
    <w:rsid w:val="000E3684"/>
    <w:rsid w:val="000E3C9B"/>
    <w:rsid w:val="000E4A98"/>
    <w:rsid w:val="000E4E7D"/>
    <w:rsid w:val="000E4EF1"/>
    <w:rsid w:val="000E518F"/>
    <w:rsid w:val="000E51E8"/>
    <w:rsid w:val="000E57FC"/>
    <w:rsid w:val="000E6076"/>
    <w:rsid w:val="000E6798"/>
    <w:rsid w:val="000E73E9"/>
    <w:rsid w:val="000E7638"/>
    <w:rsid w:val="000F04FB"/>
    <w:rsid w:val="000F32ED"/>
    <w:rsid w:val="000F3E41"/>
    <w:rsid w:val="000F61F4"/>
    <w:rsid w:val="000F62BD"/>
    <w:rsid w:val="000F7130"/>
    <w:rsid w:val="000F718D"/>
    <w:rsid w:val="000F7EC9"/>
    <w:rsid w:val="00101583"/>
    <w:rsid w:val="00101645"/>
    <w:rsid w:val="00101EE4"/>
    <w:rsid w:val="001039DB"/>
    <w:rsid w:val="00103DCF"/>
    <w:rsid w:val="001050AE"/>
    <w:rsid w:val="0010580C"/>
    <w:rsid w:val="00105BD2"/>
    <w:rsid w:val="00106713"/>
    <w:rsid w:val="00106F4D"/>
    <w:rsid w:val="001071B8"/>
    <w:rsid w:val="00110117"/>
    <w:rsid w:val="00110AAA"/>
    <w:rsid w:val="00110B63"/>
    <w:rsid w:val="00111B22"/>
    <w:rsid w:val="001130F0"/>
    <w:rsid w:val="00113317"/>
    <w:rsid w:val="00113429"/>
    <w:rsid w:val="00113E32"/>
    <w:rsid w:val="00114153"/>
    <w:rsid w:val="001143DC"/>
    <w:rsid w:val="00114EAE"/>
    <w:rsid w:val="00115515"/>
    <w:rsid w:val="001169A9"/>
    <w:rsid w:val="0012142C"/>
    <w:rsid w:val="001228B4"/>
    <w:rsid w:val="00122E9F"/>
    <w:rsid w:val="00123C9F"/>
    <w:rsid w:val="001242DB"/>
    <w:rsid w:val="00124948"/>
    <w:rsid w:val="00124A32"/>
    <w:rsid w:val="00125D8E"/>
    <w:rsid w:val="001262D9"/>
    <w:rsid w:val="001268EA"/>
    <w:rsid w:val="00131056"/>
    <w:rsid w:val="00133876"/>
    <w:rsid w:val="00134A77"/>
    <w:rsid w:val="00134E0C"/>
    <w:rsid w:val="00135B6C"/>
    <w:rsid w:val="001365DD"/>
    <w:rsid w:val="00136972"/>
    <w:rsid w:val="00136E71"/>
    <w:rsid w:val="00136ECB"/>
    <w:rsid w:val="0013786A"/>
    <w:rsid w:val="00140940"/>
    <w:rsid w:val="0014095C"/>
    <w:rsid w:val="00141410"/>
    <w:rsid w:val="0014146F"/>
    <w:rsid w:val="001416C7"/>
    <w:rsid w:val="00142370"/>
    <w:rsid w:val="0014292C"/>
    <w:rsid w:val="00143419"/>
    <w:rsid w:val="00144449"/>
    <w:rsid w:val="00146545"/>
    <w:rsid w:val="00146BB5"/>
    <w:rsid w:val="00147086"/>
    <w:rsid w:val="001510CF"/>
    <w:rsid w:val="00152254"/>
    <w:rsid w:val="00152685"/>
    <w:rsid w:val="00152CFF"/>
    <w:rsid w:val="00152FAD"/>
    <w:rsid w:val="00153822"/>
    <w:rsid w:val="001547BA"/>
    <w:rsid w:val="001567A3"/>
    <w:rsid w:val="00156E47"/>
    <w:rsid w:val="001605E0"/>
    <w:rsid w:val="00160763"/>
    <w:rsid w:val="00160935"/>
    <w:rsid w:val="00161C3B"/>
    <w:rsid w:val="0016231F"/>
    <w:rsid w:val="00162DC9"/>
    <w:rsid w:val="00162EB6"/>
    <w:rsid w:val="001636A3"/>
    <w:rsid w:val="00163D42"/>
    <w:rsid w:val="00163D86"/>
    <w:rsid w:val="001645B6"/>
    <w:rsid w:val="001648F9"/>
    <w:rsid w:val="00164E9F"/>
    <w:rsid w:val="001653A2"/>
    <w:rsid w:val="0016541E"/>
    <w:rsid w:val="00167C1F"/>
    <w:rsid w:val="00167F5A"/>
    <w:rsid w:val="001709AE"/>
    <w:rsid w:val="00171C38"/>
    <w:rsid w:val="00172B4C"/>
    <w:rsid w:val="00172E3C"/>
    <w:rsid w:val="0017319E"/>
    <w:rsid w:val="00174CCC"/>
    <w:rsid w:val="00174DB2"/>
    <w:rsid w:val="00175250"/>
    <w:rsid w:val="00175716"/>
    <w:rsid w:val="001761D5"/>
    <w:rsid w:val="001767A1"/>
    <w:rsid w:val="00180B46"/>
    <w:rsid w:val="0018204B"/>
    <w:rsid w:val="00182DAA"/>
    <w:rsid w:val="001833C9"/>
    <w:rsid w:val="00184525"/>
    <w:rsid w:val="00185730"/>
    <w:rsid w:val="00185B5F"/>
    <w:rsid w:val="00185E2D"/>
    <w:rsid w:val="001860EB"/>
    <w:rsid w:val="00186372"/>
    <w:rsid w:val="00190044"/>
    <w:rsid w:val="00190E7F"/>
    <w:rsid w:val="001923CA"/>
    <w:rsid w:val="0019278E"/>
    <w:rsid w:val="0019289F"/>
    <w:rsid w:val="00194272"/>
    <w:rsid w:val="00194829"/>
    <w:rsid w:val="00194F77"/>
    <w:rsid w:val="00195BF1"/>
    <w:rsid w:val="001960A2"/>
    <w:rsid w:val="001973D5"/>
    <w:rsid w:val="00197BBD"/>
    <w:rsid w:val="00197C13"/>
    <w:rsid w:val="001A06AD"/>
    <w:rsid w:val="001A1649"/>
    <w:rsid w:val="001A1D64"/>
    <w:rsid w:val="001A2082"/>
    <w:rsid w:val="001A2B3A"/>
    <w:rsid w:val="001A2D25"/>
    <w:rsid w:val="001A2DD9"/>
    <w:rsid w:val="001A3440"/>
    <w:rsid w:val="001A4713"/>
    <w:rsid w:val="001A4D27"/>
    <w:rsid w:val="001A5809"/>
    <w:rsid w:val="001A671F"/>
    <w:rsid w:val="001A6CEF"/>
    <w:rsid w:val="001A6E6D"/>
    <w:rsid w:val="001A7125"/>
    <w:rsid w:val="001A7705"/>
    <w:rsid w:val="001A770D"/>
    <w:rsid w:val="001A7E7C"/>
    <w:rsid w:val="001B0249"/>
    <w:rsid w:val="001B06D9"/>
    <w:rsid w:val="001B244E"/>
    <w:rsid w:val="001B2514"/>
    <w:rsid w:val="001B2E50"/>
    <w:rsid w:val="001B3157"/>
    <w:rsid w:val="001B3EE5"/>
    <w:rsid w:val="001B5548"/>
    <w:rsid w:val="001B5BD7"/>
    <w:rsid w:val="001B5E07"/>
    <w:rsid w:val="001B776B"/>
    <w:rsid w:val="001C2742"/>
    <w:rsid w:val="001C2AD4"/>
    <w:rsid w:val="001C33E9"/>
    <w:rsid w:val="001C3828"/>
    <w:rsid w:val="001C386C"/>
    <w:rsid w:val="001C3F5F"/>
    <w:rsid w:val="001C4C47"/>
    <w:rsid w:val="001C588D"/>
    <w:rsid w:val="001C5E3E"/>
    <w:rsid w:val="001C60C8"/>
    <w:rsid w:val="001C6E2F"/>
    <w:rsid w:val="001C6F6B"/>
    <w:rsid w:val="001C79C2"/>
    <w:rsid w:val="001D021A"/>
    <w:rsid w:val="001D0A74"/>
    <w:rsid w:val="001D1775"/>
    <w:rsid w:val="001D24B7"/>
    <w:rsid w:val="001D2A08"/>
    <w:rsid w:val="001D2E11"/>
    <w:rsid w:val="001D2FA3"/>
    <w:rsid w:val="001D3919"/>
    <w:rsid w:val="001D3BC1"/>
    <w:rsid w:val="001D3FFA"/>
    <w:rsid w:val="001D5121"/>
    <w:rsid w:val="001D67A8"/>
    <w:rsid w:val="001D6CA9"/>
    <w:rsid w:val="001D7A7B"/>
    <w:rsid w:val="001D7FC8"/>
    <w:rsid w:val="001E18D3"/>
    <w:rsid w:val="001E2EC0"/>
    <w:rsid w:val="001E2F63"/>
    <w:rsid w:val="001E3968"/>
    <w:rsid w:val="001E43AB"/>
    <w:rsid w:val="001E4D65"/>
    <w:rsid w:val="001E5CB7"/>
    <w:rsid w:val="001E6643"/>
    <w:rsid w:val="001F09E5"/>
    <w:rsid w:val="001F0CDC"/>
    <w:rsid w:val="001F134C"/>
    <w:rsid w:val="001F1A0C"/>
    <w:rsid w:val="001F2434"/>
    <w:rsid w:val="001F2D13"/>
    <w:rsid w:val="001F2FFB"/>
    <w:rsid w:val="001F3415"/>
    <w:rsid w:val="001F3D45"/>
    <w:rsid w:val="001F3F1D"/>
    <w:rsid w:val="001F48C3"/>
    <w:rsid w:val="001F56F1"/>
    <w:rsid w:val="001F69E5"/>
    <w:rsid w:val="001F6D19"/>
    <w:rsid w:val="001F6D89"/>
    <w:rsid w:val="001F6E35"/>
    <w:rsid w:val="001F7315"/>
    <w:rsid w:val="00200FC3"/>
    <w:rsid w:val="00203403"/>
    <w:rsid w:val="002034B1"/>
    <w:rsid w:val="0020502D"/>
    <w:rsid w:val="00205C52"/>
    <w:rsid w:val="00206773"/>
    <w:rsid w:val="00206A7F"/>
    <w:rsid w:val="00206BD9"/>
    <w:rsid w:val="0021048A"/>
    <w:rsid w:val="00210D95"/>
    <w:rsid w:val="002110FB"/>
    <w:rsid w:val="0021112A"/>
    <w:rsid w:val="00211187"/>
    <w:rsid w:val="00212587"/>
    <w:rsid w:val="00213B0B"/>
    <w:rsid w:val="00213CDD"/>
    <w:rsid w:val="00214558"/>
    <w:rsid w:val="00214EC8"/>
    <w:rsid w:val="00214F12"/>
    <w:rsid w:val="002167AF"/>
    <w:rsid w:val="002170B6"/>
    <w:rsid w:val="002170CC"/>
    <w:rsid w:val="0022042F"/>
    <w:rsid w:val="00221BBB"/>
    <w:rsid w:val="002235D1"/>
    <w:rsid w:val="002239C9"/>
    <w:rsid w:val="00224C1F"/>
    <w:rsid w:val="002253D2"/>
    <w:rsid w:val="0022591D"/>
    <w:rsid w:val="0022643E"/>
    <w:rsid w:val="0022766B"/>
    <w:rsid w:val="002307D5"/>
    <w:rsid w:val="00231C30"/>
    <w:rsid w:val="00232103"/>
    <w:rsid w:val="002323B3"/>
    <w:rsid w:val="002339F4"/>
    <w:rsid w:val="00234DEB"/>
    <w:rsid w:val="00234FEE"/>
    <w:rsid w:val="002358E8"/>
    <w:rsid w:val="00236D7E"/>
    <w:rsid w:val="002407F9"/>
    <w:rsid w:val="00240CA5"/>
    <w:rsid w:val="002414B9"/>
    <w:rsid w:val="002428F2"/>
    <w:rsid w:val="00242DCE"/>
    <w:rsid w:val="00244A40"/>
    <w:rsid w:val="002450BE"/>
    <w:rsid w:val="00245278"/>
    <w:rsid w:val="0024542D"/>
    <w:rsid w:val="00250AE8"/>
    <w:rsid w:val="00250F44"/>
    <w:rsid w:val="0025100F"/>
    <w:rsid w:val="0025288E"/>
    <w:rsid w:val="00254072"/>
    <w:rsid w:val="002559AF"/>
    <w:rsid w:val="002575B1"/>
    <w:rsid w:val="0025786C"/>
    <w:rsid w:val="00257CEE"/>
    <w:rsid w:val="002610F9"/>
    <w:rsid w:val="00261AFE"/>
    <w:rsid w:val="0026384B"/>
    <w:rsid w:val="00263F3A"/>
    <w:rsid w:val="00264532"/>
    <w:rsid w:val="00264C20"/>
    <w:rsid w:val="002650B4"/>
    <w:rsid w:val="00267018"/>
    <w:rsid w:val="002700B1"/>
    <w:rsid w:val="002703B9"/>
    <w:rsid w:val="00270BE0"/>
    <w:rsid w:val="00273541"/>
    <w:rsid w:val="00273C07"/>
    <w:rsid w:val="00274C86"/>
    <w:rsid w:val="00274F00"/>
    <w:rsid w:val="00275299"/>
    <w:rsid w:val="00275970"/>
    <w:rsid w:val="002759DB"/>
    <w:rsid w:val="002773E5"/>
    <w:rsid w:val="002802D2"/>
    <w:rsid w:val="00284000"/>
    <w:rsid w:val="00284317"/>
    <w:rsid w:val="0028482E"/>
    <w:rsid w:val="00284D6F"/>
    <w:rsid w:val="00285796"/>
    <w:rsid w:val="00285965"/>
    <w:rsid w:val="002859A7"/>
    <w:rsid w:val="002876BF"/>
    <w:rsid w:val="0029096F"/>
    <w:rsid w:val="00290BD0"/>
    <w:rsid w:val="00291BAF"/>
    <w:rsid w:val="002928B8"/>
    <w:rsid w:val="00293E3A"/>
    <w:rsid w:val="00294813"/>
    <w:rsid w:val="00294BCA"/>
    <w:rsid w:val="002950A8"/>
    <w:rsid w:val="00296341"/>
    <w:rsid w:val="0029688A"/>
    <w:rsid w:val="00297CC7"/>
    <w:rsid w:val="00297FB9"/>
    <w:rsid w:val="002A05C6"/>
    <w:rsid w:val="002A0DD3"/>
    <w:rsid w:val="002A0F6D"/>
    <w:rsid w:val="002A1772"/>
    <w:rsid w:val="002A1C61"/>
    <w:rsid w:val="002A29C6"/>
    <w:rsid w:val="002A38A5"/>
    <w:rsid w:val="002A4294"/>
    <w:rsid w:val="002A4D4D"/>
    <w:rsid w:val="002A5744"/>
    <w:rsid w:val="002A587F"/>
    <w:rsid w:val="002A70B1"/>
    <w:rsid w:val="002A7CFF"/>
    <w:rsid w:val="002B0464"/>
    <w:rsid w:val="002B0B02"/>
    <w:rsid w:val="002B24F4"/>
    <w:rsid w:val="002B2890"/>
    <w:rsid w:val="002B31A2"/>
    <w:rsid w:val="002B31DC"/>
    <w:rsid w:val="002B3918"/>
    <w:rsid w:val="002B4256"/>
    <w:rsid w:val="002B4A6D"/>
    <w:rsid w:val="002B545C"/>
    <w:rsid w:val="002B6B6C"/>
    <w:rsid w:val="002B71A9"/>
    <w:rsid w:val="002C289F"/>
    <w:rsid w:val="002C312E"/>
    <w:rsid w:val="002C37A0"/>
    <w:rsid w:val="002C3ABB"/>
    <w:rsid w:val="002C4C0E"/>
    <w:rsid w:val="002C53D2"/>
    <w:rsid w:val="002C5669"/>
    <w:rsid w:val="002C5AAF"/>
    <w:rsid w:val="002C5EA4"/>
    <w:rsid w:val="002C61BC"/>
    <w:rsid w:val="002C7E6B"/>
    <w:rsid w:val="002D0B6B"/>
    <w:rsid w:val="002D3171"/>
    <w:rsid w:val="002D3F4A"/>
    <w:rsid w:val="002D44DA"/>
    <w:rsid w:val="002D55F8"/>
    <w:rsid w:val="002D697D"/>
    <w:rsid w:val="002D6A2A"/>
    <w:rsid w:val="002D6A73"/>
    <w:rsid w:val="002D709E"/>
    <w:rsid w:val="002D779C"/>
    <w:rsid w:val="002E00AF"/>
    <w:rsid w:val="002E074E"/>
    <w:rsid w:val="002E08FF"/>
    <w:rsid w:val="002E28FB"/>
    <w:rsid w:val="002E3DC6"/>
    <w:rsid w:val="002E42BE"/>
    <w:rsid w:val="002E4A2E"/>
    <w:rsid w:val="002E6178"/>
    <w:rsid w:val="002E6A29"/>
    <w:rsid w:val="002E6E5F"/>
    <w:rsid w:val="002F032A"/>
    <w:rsid w:val="002F03C7"/>
    <w:rsid w:val="002F03F1"/>
    <w:rsid w:val="002F0C4E"/>
    <w:rsid w:val="002F2EC5"/>
    <w:rsid w:val="002F32D0"/>
    <w:rsid w:val="002F3A32"/>
    <w:rsid w:val="002F3D5A"/>
    <w:rsid w:val="002F465A"/>
    <w:rsid w:val="002F5188"/>
    <w:rsid w:val="002F520D"/>
    <w:rsid w:val="002F61CB"/>
    <w:rsid w:val="002F62AC"/>
    <w:rsid w:val="002F6CAD"/>
    <w:rsid w:val="002F6F76"/>
    <w:rsid w:val="002F74BA"/>
    <w:rsid w:val="002F7FCD"/>
    <w:rsid w:val="003002A2"/>
    <w:rsid w:val="00300CF5"/>
    <w:rsid w:val="00301976"/>
    <w:rsid w:val="00301DE6"/>
    <w:rsid w:val="00302238"/>
    <w:rsid w:val="00302EA7"/>
    <w:rsid w:val="00303795"/>
    <w:rsid w:val="00304354"/>
    <w:rsid w:val="0030777E"/>
    <w:rsid w:val="00307C0C"/>
    <w:rsid w:val="00307D5C"/>
    <w:rsid w:val="0031007B"/>
    <w:rsid w:val="00311911"/>
    <w:rsid w:val="00313322"/>
    <w:rsid w:val="003136F1"/>
    <w:rsid w:val="00313C86"/>
    <w:rsid w:val="0031462E"/>
    <w:rsid w:val="00315045"/>
    <w:rsid w:val="00315167"/>
    <w:rsid w:val="00316D32"/>
    <w:rsid w:val="00317137"/>
    <w:rsid w:val="00317D22"/>
    <w:rsid w:val="00322318"/>
    <w:rsid w:val="00322B64"/>
    <w:rsid w:val="00323C5C"/>
    <w:rsid w:val="00324A29"/>
    <w:rsid w:val="00324D85"/>
    <w:rsid w:val="0032537F"/>
    <w:rsid w:val="003257BC"/>
    <w:rsid w:val="00325E08"/>
    <w:rsid w:val="00326AFA"/>
    <w:rsid w:val="00330812"/>
    <w:rsid w:val="00330FA7"/>
    <w:rsid w:val="00331979"/>
    <w:rsid w:val="00332E4B"/>
    <w:rsid w:val="003331CE"/>
    <w:rsid w:val="00334715"/>
    <w:rsid w:val="003347B2"/>
    <w:rsid w:val="003356B2"/>
    <w:rsid w:val="00336910"/>
    <w:rsid w:val="003376E7"/>
    <w:rsid w:val="00337763"/>
    <w:rsid w:val="00337855"/>
    <w:rsid w:val="00337CFD"/>
    <w:rsid w:val="00340129"/>
    <w:rsid w:val="003403E8"/>
    <w:rsid w:val="0034097F"/>
    <w:rsid w:val="00340E43"/>
    <w:rsid w:val="00342383"/>
    <w:rsid w:val="00343195"/>
    <w:rsid w:val="0034330F"/>
    <w:rsid w:val="00343325"/>
    <w:rsid w:val="003449BC"/>
    <w:rsid w:val="00346008"/>
    <w:rsid w:val="00346643"/>
    <w:rsid w:val="003466FF"/>
    <w:rsid w:val="00347AE9"/>
    <w:rsid w:val="003501C1"/>
    <w:rsid w:val="003508FC"/>
    <w:rsid w:val="00350FE5"/>
    <w:rsid w:val="00351394"/>
    <w:rsid w:val="0035146B"/>
    <w:rsid w:val="00351B10"/>
    <w:rsid w:val="00352E7D"/>
    <w:rsid w:val="00353AC4"/>
    <w:rsid w:val="00354F18"/>
    <w:rsid w:val="00354F1A"/>
    <w:rsid w:val="00354FC9"/>
    <w:rsid w:val="00355563"/>
    <w:rsid w:val="003566A0"/>
    <w:rsid w:val="00356A81"/>
    <w:rsid w:val="003575F8"/>
    <w:rsid w:val="00357D0B"/>
    <w:rsid w:val="00357E89"/>
    <w:rsid w:val="00362774"/>
    <w:rsid w:val="00362FFE"/>
    <w:rsid w:val="00363043"/>
    <w:rsid w:val="0036319E"/>
    <w:rsid w:val="003631DC"/>
    <w:rsid w:val="00363C01"/>
    <w:rsid w:val="00363D78"/>
    <w:rsid w:val="00363F57"/>
    <w:rsid w:val="00364BFB"/>
    <w:rsid w:val="00364F8D"/>
    <w:rsid w:val="00365616"/>
    <w:rsid w:val="00365F7B"/>
    <w:rsid w:val="003667EC"/>
    <w:rsid w:val="00366BF6"/>
    <w:rsid w:val="0036714C"/>
    <w:rsid w:val="00367259"/>
    <w:rsid w:val="00370945"/>
    <w:rsid w:val="00372122"/>
    <w:rsid w:val="0037293C"/>
    <w:rsid w:val="0037294C"/>
    <w:rsid w:val="00372BB2"/>
    <w:rsid w:val="003731DB"/>
    <w:rsid w:val="00373658"/>
    <w:rsid w:val="00373B59"/>
    <w:rsid w:val="00373B96"/>
    <w:rsid w:val="00373CC3"/>
    <w:rsid w:val="00375905"/>
    <w:rsid w:val="003760E8"/>
    <w:rsid w:val="003767AA"/>
    <w:rsid w:val="0037689D"/>
    <w:rsid w:val="003768F2"/>
    <w:rsid w:val="00381088"/>
    <w:rsid w:val="003816CE"/>
    <w:rsid w:val="0038228D"/>
    <w:rsid w:val="00382326"/>
    <w:rsid w:val="00382EA7"/>
    <w:rsid w:val="00383D5D"/>
    <w:rsid w:val="003843B1"/>
    <w:rsid w:val="00384C38"/>
    <w:rsid w:val="00385656"/>
    <w:rsid w:val="00385DB4"/>
    <w:rsid w:val="00386B4F"/>
    <w:rsid w:val="00386DD1"/>
    <w:rsid w:val="0038710D"/>
    <w:rsid w:val="00387E01"/>
    <w:rsid w:val="00390B5A"/>
    <w:rsid w:val="003917AF"/>
    <w:rsid w:val="00391957"/>
    <w:rsid w:val="00391CFE"/>
    <w:rsid w:val="003922D7"/>
    <w:rsid w:val="00392562"/>
    <w:rsid w:val="00392D43"/>
    <w:rsid w:val="003942D7"/>
    <w:rsid w:val="0039457A"/>
    <w:rsid w:val="00394A00"/>
    <w:rsid w:val="00395502"/>
    <w:rsid w:val="003970D9"/>
    <w:rsid w:val="00397590"/>
    <w:rsid w:val="003979D9"/>
    <w:rsid w:val="00397DE2"/>
    <w:rsid w:val="00397E63"/>
    <w:rsid w:val="003A063F"/>
    <w:rsid w:val="003A0CC1"/>
    <w:rsid w:val="003A16B0"/>
    <w:rsid w:val="003A1B9C"/>
    <w:rsid w:val="003A1CA2"/>
    <w:rsid w:val="003A2207"/>
    <w:rsid w:val="003A24B5"/>
    <w:rsid w:val="003A25BF"/>
    <w:rsid w:val="003A270C"/>
    <w:rsid w:val="003A4E25"/>
    <w:rsid w:val="003A664A"/>
    <w:rsid w:val="003B0BC8"/>
    <w:rsid w:val="003B0D44"/>
    <w:rsid w:val="003B21C3"/>
    <w:rsid w:val="003B36A5"/>
    <w:rsid w:val="003B3CA9"/>
    <w:rsid w:val="003B3E49"/>
    <w:rsid w:val="003B4D23"/>
    <w:rsid w:val="003B4E03"/>
    <w:rsid w:val="003B6EFE"/>
    <w:rsid w:val="003B70A0"/>
    <w:rsid w:val="003B7541"/>
    <w:rsid w:val="003B7EF1"/>
    <w:rsid w:val="003C04B2"/>
    <w:rsid w:val="003C1FFB"/>
    <w:rsid w:val="003C28DE"/>
    <w:rsid w:val="003C2A38"/>
    <w:rsid w:val="003C5790"/>
    <w:rsid w:val="003C618B"/>
    <w:rsid w:val="003C62FC"/>
    <w:rsid w:val="003C6D9E"/>
    <w:rsid w:val="003C6DF7"/>
    <w:rsid w:val="003C7032"/>
    <w:rsid w:val="003C7701"/>
    <w:rsid w:val="003C7C78"/>
    <w:rsid w:val="003D0F21"/>
    <w:rsid w:val="003D309F"/>
    <w:rsid w:val="003D3728"/>
    <w:rsid w:val="003D43B4"/>
    <w:rsid w:val="003D55E3"/>
    <w:rsid w:val="003D57C7"/>
    <w:rsid w:val="003D5B4A"/>
    <w:rsid w:val="003D6EF5"/>
    <w:rsid w:val="003E0D67"/>
    <w:rsid w:val="003E24E9"/>
    <w:rsid w:val="003E2651"/>
    <w:rsid w:val="003E2E29"/>
    <w:rsid w:val="003E41E8"/>
    <w:rsid w:val="003E425D"/>
    <w:rsid w:val="003E4510"/>
    <w:rsid w:val="003E4FAE"/>
    <w:rsid w:val="003E52F0"/>
    <w:rsid w:val="003E7C64"/>
    <w:rsid w:val="003F1538"/>
    <w:rsid w:val="003F2968"/>
    <w:rsid w:val="003F2AE9"/>
    <w:rsid w:val="003F433C"/>
    <w:rsid w:val="003F4788"/>
    <w:rsid w:val="003F567C"/>
    <w:rsid w:val="003F5EB4"/>
    <w:rsid w:val="003F76A9"/>
    <w:rsid w:val="003F7719"/>
    <w:rsid w:val="0040090C"/>
    <w:rsid w:val="004026E1"/>
    <w:rsid w:val="00402935"/>
    <w:rsid w:val="00403F74"/>
    <w:rsid w:val="0040416D"/>
    <w:rsid w:val="00404A2D"/>
    <w:rsid w:val="00406CB1"/>
    <w:rsid w:val="00407344"/>
    <w:rsid w:val="00407614"/>
    <w:rsid w:val="00410C3F"/>
    <w:rsid w:val="00412041"/>
    <w:rsid w:val="004127F2"/>
    <w:rsid w:val="00412F8F"/>
    <w:rsid w:val="00416092"/>
    <w:rsid w:val="00417F83"/>
    <w:rsid w:val="00421074"/>
    <w:rsid w:val="00421378"/>
    <w:rsid w:val="00421EE5"/>
    <w:rsid w:val="0042250D"/>
    <w:rsid w:val="00422AB0"/>
    <w:rsid w:val="004243A4"/>
    <w:rsid w:val="004304A2"/>
    <w:rsid w:val="004322ED"/>
    <w:rsid w:val="00432D49"/>
    <w:rsid w:val="00434528"/>
    <w:rsid w:val="0043467E"/>
    <w:rsid w:val="004348E1"/>
    <w:rsid w:val="00435262"/>
    <w:rsid w:val="0043622C"/>
    <w:rsid w:val="004364BC"/>
    <w:rsid w:val="00436C47"/>
    <w:rsid w:val="00437D52"/>
    <w:rsid w:val="00440620"/>
    <w:rsid w:val="00440783"/>
    <w:rsid w:val="004414F0"/>
    <w:rsid w:val="0044154C"/>
    <w:rsid w:val="004415F8"/>
    <w:rsid w:val="004417A3"/>
    <w:rsid w:val="0044185C"/>
    <w:rsid w:val="00441891"/>
    <w:rsid w:val="00442309"/>
    <w:rsid w:val="00442FF9"/>
    <w:rsid w:val="00443687"/>
    <w:rsid w:val="004445F5"/>
    <w:rsid w:val="00445325"/>
    <w:rsid w:val="004459F9"/>
    <w:rsid w:val="00445A22"/>
    <w:rsid w:val="00445B7F"/>
    <w:rsid w:val="00445BA6"/>
    <w:rsid w:val="0044739F"/>
    <w:rsid w:val="00447E2E"/>
    <w:rsid w:val="004507C9"/>
    <w:rsid w:val="00450AED"/>
    <w:rsid w:val="00450F1B"/>
    <w:rsid w:val="004519AD"/>
    <w:rsid w:val="00451D2D"/>
    <w:rsid w:val="0045482C"/>
    <w:rsid w:val="0045592E"/>
    <w:rsid w:val="00455E21"/>
    <w:rsid w:val="0046013B"/>
    <w:rsid w:val="0046064E"/>
    <w:rsid w:val="00461F4B"/>
    <w:rsid w:val="00463D38"/>
    <w:rsid w:val="00466A1E"/>
    <w:rsid w:val="004675D3"/>
    <w:rsid w:val="0046786C"/>
    <w:rsid w:val="00470078"/>
    <w:rsid w:val="004715E9"/>
    <w:rsid w:val="00471B4B"/>
    <w:rsid w:val="00471CAF"/>
    <w:rsid w:val="004722A4"/>
    <w:rsid w:val="00474398"/>
    <w:rsid w:val="00474808"/>
    <w:rsid w:val="004754E1"/>
    <w:rsid w:val="004758BF"/>
    <w:rsid w:val="004759F7"/>
    <w:rsid w:val="0047653F"/>
    <w:rsid w:val="004765FB"/>
    <w:rsid w:val="00481643"/>
    <w:rsid w:val="00481AAC"/>
    <w:rsid w:val="00481FAB"/>
    <w:rsid w:val="00482081"/>
    <w:rsid w:val="0048310A"/>
    <w:rsid w:val="00483EDA"/>
    <w:rsid w:val="00483F85"/>
    <w:rsid w:val="00485142"/>
    <w:rsid w:val="00485971"/>
    <w:rsid w:val="004867B2"/>
    <w:rsid w:val="00486C71"/>
    <w:rsid w:val="00486DF8"/>
    <w:rsid w:val="00487646"/>
    <w:rsid w:val="004906F0"/>
    <w:rsid w:val="00491B90"/>
    <w:rsid w:val="0049236B"/>
    <w:rsid w:val="00493051"/>
    <w:rsid w:val="00493A55"/>
    <w:rsid w:val="00493EBE"/>
    <w:rsid w:val="0049434C"/>
    <w:rsid w:val="00494B5A"/>
    <w:rsid w:val="0049534E"/>
    <w:rsid w:val="00495518"/>
    <w:rsid w:val="00495A7A"/>
    <w:rsid w:val="004974FA"/>
    <w:rsid w:val="00497865"/>
    <w:rsid w:val="00497C2D"/>
    <w:rsid w:val="004A1020"/>
    <w:rsid w:val="004A24B0"/>
    <w:rsid w:val="004A2627"/>
    <w:rsid w:val="004A2927"/>
    <w:rsid w:val="004A29F1"/>
    <w:rsid w:val="004A3071"/>
    <w:rsid w:val="004A50C4"/>
    <w:rsid w:val="004A52C0"/>
    <w:rsid w:val="004A5ADB"/>
    <w:rsid w:val="004A7347"/>
    <w:rsid w:val="004A7EF8"/>
    <w:rsid w:val="004B0219"/>
    <w:rsid w:val="004B03FA"/>
    <w:rsid w:val="004B15CE"/>
    <w:rsid w:val="004B177A"/>
    <w:rsid w:val="004B3D82"/>
    <w:rsid w:val="004B3E91"/>
    <w:rsid w:val="004B416A"/>
    <w:rsid w:val="004B4A3E"/>
    <w:rsid w:val="004B7D1B"/>
    <w:rsid w:val="004C03BD"/>
    <w:rsid w:val="004C0BCC"/>
    <w:rsid w:val="004C0E72"/>
    <w:rsid w:val="004C0F42"/>
    <w:rsid w:val="004C234A"/>
    <w:rsid w:val="004C2ED1"/>
    <w:rsid w:val="004C3511"/>
    <w:rsid w:val="004C46A4"/>
    <w:rsid w:val="004C49DB"/>
    <w:rsid w:val="004C4ED6"/>
    <w:rsid w:val="004C5179"/>
    <w:rsid w:val="004C5445"/>
    <w:rsid w:val="004C54EA"/>
    <w:rsid w:val="004C5EF3"/>
    <w:rsid w:val="004C6CD9"/>
    <w:rsid w:val="004C6DE9"/>
    <w:rsid w:val="004C7531"/>
    <w:rsid w:val="004C7C3F"/>
    <w:rsid w:val="004D02AE"/>
    <w:rsid w:val="004D0325"/>
    <w:rsid w:val="004D0682"/>
    <w:rsid w:val="004D080F"/>
    <w:rsid w:val="004D1FBF"/>
    <w:rsid w:val="004D273D"/>
    <w:rsid w:val="004D2B73"/>
    <w:rsid w:val="004D3500"/>
    <w:rsid w:val="004D388E"/>
    <w:rsid w:val="004D3F54"/>
    <w:rsid w:val="004D4410"/>
    <w:rsid w:val="004D4F05"/>
    <w:rsid w:val="004D5487"/>
    <w:rsid w:val="004D5F7D"/>
    <w:rsid w:val="004D6A11"/>
    <w:rsid w:val="004D7A11"/>
    <w:rsid w:val="004E03FA"/>
    <w:rsid w:val="004E0AB2"/>
    <w:rsid w:val="004E0DE9"/>
    <w:rsid w:val="004E18AF"/>
    <w:rsid w:val="004E2306"/>
    <w:rsid w:val="004E2953"/>
    <w:rsid w:val="004E38B3"/>
    <w:rsid w:val="004E3DB6"/>
    <w:rsid w:val="004E650E"/>
    <w:rsid w:val="004E6D1B"/>
    <w:rsid w:val="004E702B"/>
    <w:rsid w:val="004E768D"/>
    <w:rsid w:val="004E786C"/>
    <w:rsid w:val="004E7936"/>
    <w:rsid w:val="004F248C"/>
    <w:rsid w:val="004F2D5B"/>
    <w:rsid w:val="004F48C5"/>
    <w:rsid w:val="004F5591"/>
    <w:rsid w:val="004F5593"/>
    <w:rsid w:val="004F6124"/>
    <w:rsid w:val="004F63A2"/>
    <w:rsid w:val="004F6A37"/>
    <w:rsid w:val="004F7336"/>
    <w:rsid w:val="004F7AB0"/>
    <w:rsid w:val="004F7CBB"/>
    <w:rsid w:val="004F7E66"/>
    <w:rsid w:val="004F7E8D"/>
    <w:rsid w:val="00500C83"/>
    <w:rsid w:val="00500E4C"/>
    <w:rsid w:val="00502E0A"/>
    <w:rsid w:val="005032F0"/>
    <w:rsid w:val="0050451D"/>
    <w:rsid w:val="0050466F"/>
    <w:rsid w:val="00504AE8"/>
    <w:rsid w:val="00504B68"/>
    <w:rsid w:val="00504D7B"/>
    <w:rsid w:val="00504F28"/>
    <w:rsid w:val="00505F9A"/>
    <w:rsid w:val="00506045"/>
    <w:rsid w:val="005065EB"/>
    <w:rsid w:val="0050788D"/>
    <w:rsid w:val="005103FE"/>
    <w:rsid w:val="0051232D"/>
    <w:rsid w:val="00512AF2"/>
    <w:rsid w:val="00514418"/>
    <w:rsid w:val="0051451C"/>
    <w:rsid w:val="00514990"/>
    <w:rsid w:val="00514B8C"/>
    <w:rsid w:val="00515CF2"/>
    <w:rsid w:val="00516500"/>
    <w:rsid w:val="00517252"/>
    <w:rsid w:val="00517AAB"/>
    <w:rsid w:val="005200CB"/>
    <w:rsid w:val="0052074D"/>
    <w:rsid w:val="00520D91"/>
    <w:rsid w:val="00522E8E"/>
    <w:rsid w:val="005233EE"/>
    <w:rsid w:val="00523768"/>
    <w:rsid w:val="00523816"/>
    <w:rsid w:val="0052384D"/>
    <w:rsid w:val="00524270"/>
    <w:rsid w:val="00524590"/>
    <w:rsid w:val="00524A9A"/>
    <w:rsid w:val="0052536B"/>
    <w:rsid w:val="00525CB5"/>
    <w:rsid w:val="00525E44"/>
    <w:rsid w:val="0052602B"/>
    <w:rsid w:val="00526D24"/>
    <w:rsid w:val="00526EA9"/>
    <w:rsid w:val="00527000"/>
    <w:rsid w:val="00527D2D"/>
    <w:rsid w:val="00527D76"/>
    <w:rsid w:val="00527D81"/>
    <w:rsid w:val="005314DF"/>
    <w:rsid w:val="00531A48"/>
    <w:rsid w:val="00531B42"/>
    <w:rsid w:val="00531ED8"/>
    <w:rsid w:val="00533C22"/>
    <w:rsid w:val="0053410A"/>
    <w:rsid w:val="0053429C"/>
    <w:rsid w:val="005343FF"/>
    <w:rsid w:val="005347BF"/>
    <w:rsid w:val="0053498D"/>
    <w:rsid w:val="00540545"/>
    <w:rsid w:val="00540902"/>
    <w:rsid w:val="00541422"/>
    <w:rsid w:val="00541A17"/>
    <w:rsid w:val="00541E2C"/>
    <w:rsid w:val="00542E53"/>
    <w:rsid w:val="00544854"/>
    <w:rsid w:val="00544DF1"/>
    <w:rsid w:val="00544EAD"/>
    <w:rsid w:val="005452D6"/>
    <w:rsid w:val="00550B52"/>
    <w:rsid w:val="00550F73"/>
    <w:rsid w:val="00550FE0"/>
    <w:rsid w:val="0055204F"/>
    <w:rsid w:val="00552166"/>
    <w:rsid w:val="0055239C"/>
    <w:rsid w:val="00552D1E"/>
    <w:rsid w:val="00554BE8"/>
    <w:rsid w:val="005550FD"/>
    <w:rsid w:val="00555215"/>
    <w:rsid w:val="00555A5E"/>
    <w:rsid w:val="00555A82"/>
    <w:rsid w:val="00555F14"/>
    <w:rsid w:val="00556200"/>
    <w:rsid w:val="005562A5"/>
    <w:rsid w:val="00557DDF"/>
    <w:rsid w:val="00561355"/>
    <w:rsid w:val="0056155B"/>
    <w:rsid w:val="00561D83"/>
    <w:rsid w:val="00563E60"/>
    <w:rsid w:val="00564062"/>
    <w:rsid w:val="00564CAA"/>
    <w:rsid w:val="00566643"/>
    <w:rsid w:val="00567410"/>
    <w:rsid w:val="00567592"/>
    <w:rsid w:val="005677A0"/>
    <w:rsid w:val="005702F6"/>
    <w:rsid w:val="00570BA4"/>
    <w:rsid w:val="00570BE2"/>
    <w:rsid w:val="00572623"/>
    <w:rsid w:val="005726E3"/>
    <w:rsid w:val="005743A2"/>
    <w:rsid w:val="00574514"/>
    <w:rsid w:val="0057477F"/>
    <w:rsid w:val="0057522A"/>
    <w:rsid w:val="005815D1"/>
    <w:rsid w:val="00582016"/>
    <w:rsid w:val="0058301F"/>
    <w:rsid w:val="00583D86"/>
    <w:rsid w:val="00584B8F"/>
    <w:rsid w:val="00584CE6"/>
    <w:rsid w:val="00584F06"/>
    <w:rsid w:val="00585693"/>
    <w:rsid w:val="005859C2"/>
    <w:rsid w:val="00585FEC"/>
    <w:rsid w:val="005873ED"/>
    <w:rsid w:val="00587E22"/>
    <w:rsid w:val="00590453"/>
    <w:rsid w:val="005905FB"/>
    <w:rsid w:val="00590BB1"/>
    <w:rsid w:val="005916CF"/>
    <w:rsid w:val="005917C5"/>
    <w:rsid w:val="00591C49"/>
    <w:rsid w:val="00591D85"/>
    <w:rsid w:val="00592302"/>
    <w:rsid w:val="005928FD"/>
    <w:rsid w:val="0059298F"/>
    <w:rsid w:val="0059393A"/>
    <w:rsid w:val="00593EFB"/>
    <w:rsid w:val="005953A6"/>
    <w:rsid w:val="00597450"/>
    <w:rsid w:val="005A12D4"/>
    <w:rsid w:val="005A2190"/>
    <w:rsid w:val="005A3405"/>
    <w:rsid w:val="005A378C"/>
    <w:rsid w:val="005A3A3A"/>
    <w:rsid w:val="005A4811"/>
    <w:rsid w:val="005A702B"/>
    <w:rsid w:val="005A7304"/>
    <w:rsid w:val="005B0C07"/>
    <w:rsid w:val="005B0D34"/>
    <w:rsid w:val="005B1924"/>
    <w:rsid w:val="005B1F4F"/>
    <w:rsid w:val="005B2158"/>
    <w:rsid w:val="005B257A"/>
    <w:rsid w:val="005B2911"/>
    <w:rsid w:val="005B412E"/>
    <w:rsid w:val="005B487E"/>
    <w:rsid w:val="005B54DE"/>
    <w:rsid w:val="005B5B59"/>
    <w:rsid w:val="005B5BF7"/>
    <w:rsid w:val="005B5D6A"/>
    <w:rsid w:val="005C1082"/>
    <w:rsid w:val="005C1348"/>
    <w:rsid w:val="005C1E3F"/>
    <w:rsid w:val="005C1FCD"/>
    <w:rsid w:val="005C3B09"/>
    <w:rsid w:val="005C4DB7"/>
    <w:rsid w:val="005C664D"/>
    <w:rsid w:val="005C6657"/>
    <w:rsid w:val="005C6771"/>
    <w:rsid w:val="005C6F56"/>
    <w:rsid w:val="005C760C"/>
    <w:rsid w:val="005D093C"/>
    <w:rsid w:val="005D1180"/>
    <w:rsid w:val="005D1298"/>
    <w:rsid w:val="005D2744"/>
    <w:rsid w:val="005D35A7"/>
    <w:rsid w:val="005D453E"/>
    <w:rsid w:val="005D6114"/>
    <w:rsid w:val="005E04A5"/>
    <w:rsid w:val="005E0C86"/>
    <w:rsid w:val="005E16E6"/>
    <w:rsid w:val="005E2F60"/>
    <w:rsid w:val="005E35FC"/>
    <w:rsid w:val="005E3C88"/>
    <w:rsid w:val="005E43E5"/>
    <w:rsid w:val="005E4551"/>
    <w:rsid w:val="005E4E07"/>
    <w:rsid w:val="005E4FE7"/>
    <w:rsid w:val="005E5A92"/>
    <w:rsid w:val="005E6611"/>
    <w:rsid w:val="005E7295"/>
    <w:rsid w:val="005E754C"/>
    <w:rsid w:val="005E7E33"/>
    <w:rsid w:val="005E7F24"/>
    <w:rsid w:val="005F096E"/>
    <w:rsid w:val="005F1FBA"/>
    <w:rsid w:val="005F2760"/>
    <w:rsid w:val="005F2BFA"/>
    <w:rsid w:val="005F3344"/>
    <w:rsid w:val="005F35A7"/>
    <w:rsid w:val="005F3F36"/>
    <w:rsid w:val="005F4C7E"/>
    <w:rsid w:val="005F79C7"/>
    <w:rsid w:val="00600160"/>
    <w:rsid w:val="0060134C"/>
    <w:rsid w:val="0060218E"/>
    <w:rsid w:val="0060554A"/>
    <w:rsid w:val="006058EF"/>
    <w:rsid w:val="006069C4"/>
    <w:rsid w:val="00606BC1"/>
    <w:rsid w:val="00606E2A"/>
    <w:rsid w:val="006075F7"/>
    <w:rsid w:val="0060793A"/>
    <w:rsid w:val="00611303"/>
    <w:rsid w:val="00611919"/>
    <w:rsid w:val="00613445"/>
    <w:rsid w:val="0061468D"/>
    <w:rsid w:val="00614782"/>
    <w:rsid w:val="00615067"/>
    <w:rsid w:val="006151D5"/>
    <w:rsid w:val="00616A0B"/>
    <w:rsid w:val="00616EEB"/>
    <w:rsid w:val="00617FC7"/>
    <w:rsid w:val="00620162"/>
    <w:rsid w:val="006207C8"/>
    <w:rsid w:val="0062121F"/>
    <w:rsid w:val="006221EA"/>
    <w:rsid w:val="00622A10"/>
    <w:rsid w:val="00622DEC"/>
    <w:rsid w:val="00623992"/>
    <w:rsid w:val="006240F3"/>
    <w:rsid w:val="006242C4"/>
    <w:rsid w:val="0062433E"/>
    <w:rsid w:val="006265EF"/>
    <w:rsid w:val="0062729B"/>
    <w:rsid w:val="006272DC"/>
    <w:rsid w:val="0063010E"/>
    <w:rsid w:val="0063246F"/>
    <w:rsid w:val="0063362B"/>
    <w:rsid w:val="00633672"/>
    <w:rsid w:val="00633AFA"/>
    <w:rsid w:val="006340C2"/>
    <w:rsid w:val="00634805"/>
    <w:rsid w:val="00636DAF"/>
    <w:rsid w:val="00637286"/>
    <w:rsid w:val="00637774"/>
    <w:rsid w:val="00637AB5"/>
    <w:rsid w:val="00640079"/>
    <w:rsid w:val="00640D22"/>
    <w:rsid w:val="00641B87"/>
    <w:rsid w:val="00641E90"/>
    <w:rsid w:val="00643263"/>
    <w:rsid w:val="00643532"/>
    <w:rsid w:val="00645480"/>
    <w:rsid w:val="006454D2"/>
    <w:rsid w:val="00646251"/>
    <w:rsid w:val="00647861"/>
    <w:rsid w:val="00647B2B"/>
    <w:rsid w:val="00647C1A"/>
    <w:rsid w:val="006502A1"/>
    <w:rsid w:val="00650A71"/>
    <w:rsid w:val="00650FC3"/>
    <w:rsid w:val="0065106B"/>
    <w:rsid w:val="00651306"/>
    <w:rsid w:val="00651E38"/>
    <w:rsid w:val="006521BB"/>
    <w:rsid w:val="0065257D"/>
    <w:rsid w:val="006528F7"/>
    <w:rsid w:val="00653A5A"/>
    <w:rsid w:val="00653BDF"/>
    <w:rsid w:val="00653DF0"/>
    <w:rsid w:val="00654826"/>
    <w:rsid w:val="00654CD3"/>
    <w:rsid w:val="00655CA9"/>
    <w:rsid w:val="00655CB5"/>
    <w:rsid w:val="00656B25"/>
    <w:rsid w:val="00657EF6"/>
    <w:rsid w:val="006608E9"/>
    <w:rsid w:val="00660E7E"/>
    <w:rsid w:val="00662F88"/>
    <w:rsid w:val="0066377F"/>
    <w:rsid w:val="006647FF"/>
    <w:rsid w:val="006648A1"/>
    <w:rsid w:val="00665056"/>
    <w:rsid w:val="006652EF"/>
    <w:rsid w:val="00666FB8"/>
    <w:rsid w:val="0067150E"/>
    <w:rsid w:val="0067192D"/>
    <w:rsid w:val="00671BCF"/>
    <w:rsid w:val="00673CDC"/>
    <w:rsid w:val="00674121"/>
    <w:rsid w:val="0067519D"/>
    <w:rsid w:val="0067534E"/>
    <w:rsid w:val="006759AD"/>
    <w:rsid w:val="00680095"/>
    <w:rsid w:val="00680C33"/>
    <w:rsid w:val="0068331E"/>
    <w:rsid w:val="00684794"/>
    <w:rsid w:val="006854BC"/>
    <w:rsid w:val="00685812"/>
    <w:rsid w:val="006859D2"/>
    <w:rsid w:val="00685E85"/>
    <w:rsid w:val="006874F5"/>
    <w:rsid w:val="00690D81"/>
    <w:rsid w:val="00691241"/>
    <w:rsid w:val="00691F0F"/>
    <w:rsid w:val="00692317"/>
    <w:rsid w:val="00692514"/>
    <w:rsid w:val="00692F51"/>
    <w:rsid w:val="00692F78"/>
    <w:rsid w:val="006937FB"/>
    <w:rsid w:val="0069429B"/>
    <w:rsid w:val="00694507"/>
    <w:rsid w:val="00695D43"/>
    <w:rsid w:val="006967C6"/>
    <w:rsid w:val="00696B07"/>
    <w:rsid w:val="00696F95"/>
    <w:rsid w:val="006975A0"/>
    <w:rsid w:val="006A031F"/>
    <w:rsid w:val="006A4117"/>
    <w:rsid w:val="006A4977"/>
    <w:rsid w:val="006A55D7"/>
    <w:rsid w:val="006A5682"/>
    <w:rsid w:val="006A569F"/>
    <w:rsid w:val="006A7041"/>
    <w:rsid w:val="006A77A2"/>
    <w:rsid w:val="006B452A"/>
    <w:rsid w:val="006B4CBC"/>
    <w:rsid w:val="006B5667"/>
    <w:rsid w:val="006B75A8"/>
    <w:rsid w:val="006C05A4"/>
    <w:rsid w:val="006C15D8"/>
    <w:rsid w:val="006C21FD"/>
    <w:rsid w:val="006C2746"/>
    <w:rsid w:val="006C38D0"/>
    <w:rsid w:val="006C4C11"/>
    <w:rsid w:val="006C4F83"/>
    <w:rsid w:val="006C5145"/>
    <w:rsid w:val="006C6A38"/>
    <w:rsid w:val="006C6F0C"/>
    <w:rsid w:val="006C6FA3"/>
    <w:rsid w:val="006C6FCF"/>
    <w:rsid w:val="006C72D8"/>
    <w:rsid w:val="006D00CB"/>
    <w:rsid w:val="006D0A74"/>
    <w:rsid w:val="006D1AD4"/>
    <w:rsid w:val="006D203F"/>
    <w:rsid w:val="006D2C37"/>
    <w:rsid w:val="006D30F2"/>
    <w:rsid w:val="006D4B6E"/>
    <w:rsid w:val="006D4F0A"/>
    <w:rsid w:val="006D5269"/>
    <w:rsid w:val="006D57C3"/>
    <w:rsid w:val="006D631C"/>
    <w:rsid w:val="006D6D82"/>
    <w:rsid w:val="006D6F07"/>
    <w:rsid w:val="006D704E"/>
    <w:rsid w:val="006E1411"/>
    <w:rsid w:val="006E155D"/>
    <w:rsid w:val="006E1A3D"/>
    <w:rsid w:val="006E1D22"/>
    <w:rsid w:val="006E5097"/>
    <w:rsid w:val="006E53EA"/>
    <w:rsid w:val="006E57AC"/>
    <w:rsid w:val="006E5CF9"/>
    <w:rsid w:val="006E6868"/>
    <w:rsid w:val="006F03C7"/>
    <w:rsid w:val="006F0429"/>
    <w:rsid w:val="006F0592"/>
    <w:rsid w:val="006F1570"/>
    <w:rsid w:val="006F183A"/>
    <w:rsid w:val="006F240A"/>
    <w:rsid w:val="006F26C1"/>
    <w:rsid w:val="006F40FA"/>
    <w:rsid w:val="006F4813"/>
    <w:rsid w:val="006F5FA2"/>
    <w:rsid w:val="006F7A06"/>
    <w:rsid w:val="00700888"/>
    <w:rsid w:val="00700C2E"/>
    <w:rsid w:val="00700EB0"/>
    <w:rsid w:val="00702C0D"/>
    <w:rsid w:val="007033CC"/>
    <w:rsid w:val="00703762"/>
    <w:rsid w:val="00703864"/>
    <w:rsid w:val="00704F5E"/>
    <w:rsid w:val="007051DC"/>
    <w:rsid w:val="007063E1"/>
    <w:rsid w:val="0070783B"/>
    <w:rsid w:val="00711215"/>
    <w:rsid w:val="007139CD"/>
    <w:rsid w:val="00713D6D"/>
    <w:rsid w:val="00714D77"/>
    <w:rsid w:val="00715DD1"/>
    <w:rsid w:val="007169A4"/>
    <w:rsid w:val="00716DAA"/>
    <w:rsid w:val="007177B2"/>
    <w:rsid w:val="00717C57"/>
    <w:rsid w:val="00717DC0"/>
    <w:rsid w:val="007206D4"/>
    <w:rsid w:val="00721C9B"/>
    <w:rsid w:val="00721DCF"/>
    <w:rsid w:val="00723C4B"/>
    <w:rsid w:val="007242C1"/>
    <w:rsid w:val="00724920"/>
    <w:rsid w:val="007266B5"/>
    <w:rsid w:val="00727606"/>
    <w:rsid w:val="00727C58"/>
    <w:rsid w:val="0073038E"/>
    <w:rsid w:val="00730CE9"/>
    <w:rsid w:val="007314A0"/>
    <w:rsid w:val="0073245F"/>
    <w:rsid w:val="00733B98"/>
    <w:rsid w:val="007344F3"/>
    <w:rsid w:val="0073531E"/>
    <w:rsid w:val="00735E8A"/>
    <w:rsid w:val="00736923"/>
    <w:rsid w:val="007369A7"/>
    <w:rsid w:val="00736A91"/>
    <w:rsid w:val="00736EFC"/>
    <w:rsid w:val="0073768D"/>
    <w:rsid w:val="00740827"/>
    <w:rsid w:val="007414ED"/>
    <w:rsid w:val="007417A4"/>
    <w:rsid w:val="0074276D"/>
    <w:rsid w:val="00744470"/>
    <w:rsid w:val="00744D9D"/>
    <w:rsid w:val="007457C9"/>
    <w:rsid w:val="007461A0"/>
    <w:rsid w:val="007507E6"/>
    <w:rsid w:val="007518EC"/>
    <w:rsid w:val="00753C35"/>
    <w:rsid w:val="007553C5"/>
    <w:rsid w:val="0075572D"/>
    <w:rsid w:val="007563CF"/>
    <w:rsid w:val="00756AAD"/>
    <w:rsid w:val="00756C2D"/>
    <w:rsid w:val="00757484"/>
    <w:rsid w:val="00757748"/>
    <w:rsid w:val="00763E79"/>
    <w:rsid w:val="0076402E"/>
    <w:rsid w:val="00765EEB"/>
    <w:rsid w:val="00766444"/>
    <w:rsid w:val="00766D1C"/>
    <w:rsid w:val="00766E05"/>
    <w:rsid w:val="007701CF"/>
    <w:rsid w:val="007703FE"/>
    <w:rsid w:val="007708CF"/>
    <w:rsid w:val="00772703"/>
    <w:rsid w:val="00774206"/>
    <w:rsid w:val="00775589"/>
    <w:rsid w:val="00776130"/>
    <w:rsid w:val="00776898"/>
    <w:rsid w:val="007807C9"/>
    <w:rsid w:val="00781AA0"/>
    <w:rsid w:val="00781E1B"/>
    <w:rsid w:val="00783FEE"/>
    <w:rsid w:val="007846A9"/>
    <w:rsid w:val="00784C8E"/>
    <w:rsid w:val="007858F9"/>
    <w:rsid w:val="00785A1A"/>
    <w:rsid w:val="00785C88"/>
    <w:rsid w:val="00785E3B"/>
    <w:rsid w:val="007863B7"/>
    <w:rsid w:val="00786C60"/>
    <w:rsid w:val="007872E7"/>
    <w:rsid w:val="00787A2D"/>
    <w:rsid w:val="00787FF7"/>
    <w:rsid w:val="00790341"/>
    <w:rsid w:val="0079140A"/>
    <w:rsid w:val="00791F36"/>
    <w:rsid w:val="00793640"/>
    <w:rsid w:val="00793878"/>
    <w:rsid w:val="00793A3C"/>
    <w:rsid w:val="00793D43"/>
    <w:rsid w:val="00794432"/>
    <w:rsid w:val="007946C8"/>
    <w:rsid w:val="00794C39"/>
    <w:rsid w:val="00795D04"/>
    <w:rsid w:val="00795E73"/>
    <w:rsid w:val="00795FF4"/>
    <w:rsid w:val="007964A5"/>
    <w:rsid w:val="00796538"/>
    <w:rsid w:val="00796A35"/>
    <w:rsid w:val="00796FC6"/>
    <w:rsid w:val="007A0694"/>
    <w:rsid w:val="007A1051"/>
    <w:rsid w:val="007A22C4"/>
    <w:rsid w:val="007A431E"/>
    <w:rsid w:val="007A450F"/>
    <w:rsid w:val="007A4AFC"/>
    <w:rsid w:val="007A53E2"/>
    <w:rsid w:val="007A5769"/>
    <w:rsid w:val="007A788A"/>
    <w:rsid w:val="007B1F91"/>
    <w:rsid w:val="007B1FD2"/>
    <w:rsid w:val="007B2078"/>
    <w:rsid w:val="007B23AC"/>
    <w:rsid w:val="007B2EBA"/>
    <w:rsid w:val="007B4318"/>
    <w:rsid w:val="007B4CC5"/>
    <w:rsid w:val="007B4CD6"/>
    <w:rsid w:val="007B5AC1"/>
    <w:rsid w:val="007C1B8C"/>
    <w:rsid w:val="007C1CB6"/>
    <w:rsid w:val="007C1F0F"/>
    <w:rsid w:val="007C2A54"/>
    <w:rsid w:val="007C3613"/>
    <w:rsid w:val="007C4301"/>
    <w:rsid w:val="007C517F"/>
    <w:rsid w:val="007C6A7D"/>
    <w:rsid w:val="007C6D67"/>
    <w:rsid w:val="007C715D"/>
    <w:rsid w:val="007C74A2"/>
    <w:rsid w:val="007D0378"/>
    <w:rsid w:val="007D0FE4"/>
    <w:rsid w:val="007D1477"/>
    <w:rsid w:val="007D15DD"/>
    <w:rsid w:val="007D1D4F"/>
    <w:rsid w:val="007D1E97"/>
    <w:rsid w:val="007D27C8"/>
    <w:rsid w:val="007D286B"/>
    <w:rsid w:val="007D3E18"/>
    <w:rsid w:val="007D42D3"/>
    <w:rsid w:val="007D4A0A"/>
    <w:rsid w:val="007D4A65"/>
    <w:rsid w:val="007D5006"/>
    <w:rsid w:val="007D5710"/>
    <w:rsid w:val="007D5DED"/>
    <w:rsid w:val="007D6982"/>
    <w:rsid w:val="007D6DC3"/>
    <w:rsid w:val="007D6F50"/>
    <w:rsid w:val="007D6FF8"/>
    <w:rsid w:val="007E22AF"/>
    <w:rsid w:val="007E2ECD"/>
    <w:rsid w:val="007E3E35"/>
    <w:rsid w:val="007E3FED"/>
    <w:rsid w:val="007E40E1"/>
    <w:rsid w:val="007E41DA"/>
    <w:rsid w:val="007E5402"/>
    <w:rsid w:val="007E5417"/>
    <w:rsid w:val="007E5AF1"/>
    <w:rsid w:val="007E6B86"/>
    <w:rsid w:val="007E6CE4"/>
    <w:rsid w:val="007E6DF4"/>
    <w:rsid w:val="007E721A"/>
    <w:rsid w:val="007F011C"/>
    <w:rsid w:val="007F0126"/>
    <w:rsid w:val="007F043C"/>
    <w:rsid w:val="007F0B32"/>
    <w:rsid w:val="007F2993"/>
    <w:rsid w:val="007F3830"/>
    <w:rsid w:val="007F39DB"/>
    <w:rsid w:val="007F3ABE"/>
    <w:rsid w:val="007F52F1"/>
    <w:rsid w:val="007F5355"/>
    <w:rsid w:val="007F7196"/>
    <w:rsid w:val="007F73B6"/>
    <w:rsid w:val="0080307A"/>
    <w:rsid w:val="008031B6"/>
    <w:rsid w:val="0080379A"/>
    <w:rsid w:val="008042AC"/>
    <w:rsid w:val="008049BD"/>
    <w:rsid w:val="008058DF"/>
    <w:rsid w:val="00805B98"/>
    <w:rsid w:val="00806AA2"/>
    <w:rsid w:val="00806C93"/>
    <w:rsid w:val="0080729B"/>
    <w:rsid w:val="008116B1"/>
    <w:rsid w:val="008120F9"/>
    <w:rsid w:val="0081254A"/>
    <w:rsid w:val="008125F8"/>
    <w:rsid w:val="008127C5"/>
    <w:rsid w:val="00812B80"/>
    <w:rsid w:val="008135C6"/>
    <w:rsid w:val="008138C4"/>
    <w:rsid w:val="00813E39"/>
    <w:rsid w:val="0081483B"/>
    <w:rsid w:val="00814DE3"/>
    <w:rsid w:val="008155D7"/>
    <w:rsid w:val="00816FE0"/>
    <w:rsid w:val="0081701E"/>
    <w:rsid w:val="008204C6"/>
    <w:rsid w:val="0082213C"/>
    <w:rsid w:val="008226FD"/>
    <w:rsid w:val="00822E34"/>
    <w:rsid w:val="00823DE1"/>
    <w:rsid w:val="00823E57"/>
    <w:rsid w:val="008255A3"/>
    <w:rsid w:val="00825EB3"/>
    <w:rsid w:val="00825EDE"/>
    <w:rsid w:val="00825F35"/>
    <w:rsid w:val="0082662A"/>
    <w:rsid w:val="00826DBB"/>
    <w:rsid w:val="008304C4"/>
    <w:rsid w:val="00830669"/>
    <w:rsid w:val="00830752"/>
    <w:rsid w:val="008314E1"/>
    <w:rsid w:val="0083438F"/>
    <w:rsid w:val="00834BAC"/>
    <w:rsid w:val="00835106"/>
    <w:rsid w:val="008353CA"/>
    <w:rsid w:val="00835651"/>
    <w:rsid w:val="0083591F"/>
    <w:rsid w:val="00835E65"/>
    <w:rsid w:val="00835F15"/>
    <w:rsid w:val="00836694"/>
    <w:rsid w:val="00837B29"/>
    <w:rsid w:val="00840439"/>
    <w:rsid w:val="0084126A"/>
    <w:rsid w:val="00841C39"/>
    <w:rsid w:val="00842698"/>
    <w:rsid w:val="00843273"/>
    <w:rsid w:val="00844245"/>
    <w:rsid w:val="00844A24"/>
    <w:rsid w:val="00845158"/>
    <w:rsid w:val="008467C7"/>
    <w:rsid w:val="008468CF"/>
    <w:rsid w:val="00846A34"/>
    <w:rsid w:val="00846C18"/>
    <w:rsid w:val="00846C61"/>
    <w:rsid w:val="0084766F"/>
    <w:rsid w:val="00850FA4"/>
    <w:rsid w:val="008517CC"/>
    <w:rsid w:val="00851805"/>
    <w:rsid w:val="0085185E"/>
    <w:rsid w:val="00853BF4"/>
    <w:rsid w:val="00854654"/>
    <w:rsid w:val="00854B72"/>
    <w:rsid w:val="0085611E"/>
    <w:rsid w:val="008574B4"/>
    <w:rsid w:val="00857786"/>
    <w:rsid w:val="00857933"/>
    <w:rsid w:val="00857960"/>
    <w:rsid w:val="00857C52"/>
    <w:rsid w:val="008626DF"/>
    <w:rsid w:val="00864108"/>
    <w:rsid w:val="008644B7"/>
    <w:rsid w:val="0086465F"/>
    <w:rsid w:val="00864B27"/>
    <w:rsid w:val="00865F44"/>
    <w:rsid w:val="00865FE5"/>
    <w:rsid w:val="0086616C"/>
    <w:rsid w:val="008665EA"/>
    <w:rsid w:val="0086794D"/>
    <w:rsid w:val="00867AAB"/>
    <w:rsid w:val="0087042C"/>
    <w:rsid w:val="0087090C"/>
    <w:rsid w:val="00870B3C"/>
    <w:rsid w:val="00870BB4"/>
    <w:rsid w:val="00871D0E"/>
    <w:rsid w:val="00872595"/>
    <w:rsid w:val="00873CF0"/>
    <w:rsid w:val="008744E7"/>
    <w:rsid w:val="00874FAA"/>
    <w:rsid w:val="008761AA"/>
    <w:rsid w:val="00877896"/>
    <w:rsid w:val="008803BB"/>
    <w:rsid w:val="00880834"/>
    <w:rsid w:val="008810FC"/>
    <w:rsid w:val="008815B8"/>
    <w:rsid w:val="008821C2"/>
    <w:rsid w:val="00883204"/>
    <w:rsid w:val="00883523"/>
    <w:rsid w:val="0088374E"/>
    <w:rsid w:val="00883C77"/>
    <w:rsid w:val="0088418D"/>
    <w:rsid w:val="00885351"/>
    <w:rsid w:val="00885D2E"/>
    <w:rsid w:val="00885EAE"/>
    <w:rsid w:val="008877F2"/>
    <w:rsid w:val="00887F58"/>
    <w:rsid w:val="00890445"/>
    <w:rsid w:val="00890CFD"/>
    <w:rsid w:val="00891A69"/>
    <w:rsid w:val="00892CFB"/>
    <w:rsid w:val="00892E61"/>
    <w:rsid w:val="00893427"/>
    <w:rsid w:val="00893476"/>
    <w:rsid w:val="00893580"/>
    <w:rsid w:val="008937F3"/>
    <w:rsid w:val="00893F8B"/>
    <w:rsid w:val="00894BE8"/>
    <w:rsid w:val="00894F95"/>
    <w:rsid w:val="008957A3"/>
    <w:rsid w:val="00895CF2"/>
    <w:rsid w:val="00896C3F"/>
    <w:rsid w:val="00897740"/>
    <w:rsid w:val="008A0D27"/>
    <w:rsid w:val="008A0E1D"/>
    <w:rsid w:val="008A1023"/>
    <w:rsid w:val="008A12E6"/>
    <w:rsid w:val="008A1EF9"/>
    <w:rsid w:val="008A214A"/>
    <w:rsid w:val="008A2FF9"/>
    <w:rsid w:val="008A36E5"/>
    <w:rsid w:val="008A3F73"/>
    <w:rsid w:val="008A42DC"/>
    <w:rsid w:val="008A4F1D"/>
    <w:rsid w:val="008A56F5"/>
    <w:rsid w:val="008A670B"/>
    <w:rsid w:val="008A6E5B"/>
    <w:rsid w:val="008A729A"/>
    <w:rsid w:val="008B22B7"/>
    <w:rsid w:val="008B3A5F"/>
    <w:rsid w:val="008B4787"/>
    <w:rsid w:val="008B492B"/>
    <w:rsid w:val="008B4EC3"/>
    <w:rsid w:val="008B582A"/>
    <w:rsid w:val="008B6A68"/>
    <w:rsid w:val="008B7A08"/>
    <w:rsid w:val="008B7FED"/>
    <w:rsid w:val="008C00EC"/>
    <w:rsid w:val="008C0259"/>
    <w:rsid w:val="008C1147"/>
    <w:rsid w:val="008C1195"/>
    <w:rsid w:val="008C1813"/>
    <w:rsid w:val="008C188D"/>
    <w:rsid w:val="008C49AF"/>
    <w:rsid w:val="008C581E"/>
    <w:rsid w:val="008C5AAA"/>
    <w:rsid w:val="008C5DF5"/>
    <w:rsid w:val="008C7499"/>
    <w:rsid w:val="008D0F5E"/>
    <w:rsid w:val="008D1203"/>
    <w:rsid w:val="008D2F22"/>
    <w:rsid w:val="008D57F0"/>
    <w:rsid w:val="008D5E86"/>
    <w:rsid w:val="008D6A65"/>
    <w:rsid w:val="008D6B33"/>
    <w:rsid w:val="008D70D9"/>
    <w:rsid w:val="008D73E8"/>
    <w:rsid w:val="008E004E"/>
    <w:rsid w:val="008E035F"/>
    <w:rsid w:val="008E05B8"/>
    <w:rsid w:val="008E1177"/>
    <w:rsid w:val="008E1A91"/>
    <w:rsid w:val="008E1C12"/>
    <w:rsid w:val="008E234C"/>
    <w:rsid w:val="008E2E49"/>
    <w:rsid w:val="008E3E1F"/>
    <w:rsid w:val="008E5280"/>
    <w:rsid w:val="008E65D4"/>
    <w:rsid w:val="008E6635"/>
    <w:rsid w:val="008F0CE9"/>
    <w:rsid w:val="008F0EE4"/>
    <w:rsid w:val="008F1956"/>
    <w:rsid w:val="008F32DC"/>
    <w:rsid w:val="008F33BD"/>
    <w:rsid w:val="008F3425"/>
    <w:rsid w:val="008F3E22"/>
    <w:rsid w:val="008F6021"/>
    <w:rsid w:val="008F7482"/>
    <w:rsid w:val="008F7564"/>
    <w:rsid w:val="00900FCB"/>
    <w:rsid w:val="00901811"/>
    <w:rsid w:val="00901B9E"/>
    <w:rsid w:val="00901D4F"/>
    <w:rsid w:val="009021B5"/>
    <w:rsid w:val="00902E83"/>
    <w:rsid w:val="009030D8"/>
    <w:rsid w:val="00903627"/>
    <w:rsid w:val="00903708"/>
    <w:rsid w:val="009048DA"/>
    <w:rsid w:val="00904D94"/>
    <w:rsid w:val="00907A58"/>
    <w:rsid w:val="00910254"/>
    <w:rsid w:val="00912287"/>
    <w:rsid w:val="009123C9"/>
    <w:rsid w:val="00912AB8"/>
    <w:rsid w:val="00912C55"/>
    <w:rsid w:val="00914CDF"/>
    <w:rsid w:val="009151BD"/>
    <w:rsid w:val="00915794"/>
    <w:rsid w:val="0091619A"/>
    <w:rsid w:val="00916B7D"/>
    <w:rsid w:val="00916D11"/>
    <w:rsid w:val="009176A2"/>
    <w:rsid w:val="00920242"/>
    <w:rsid w:val="00920CF5"/>
    <w:rsid w:val="00921295"/>
    <w:rsid w:val="00921C10"/>
    <w:rsid w:val="00921C3E"/>
    <w:rsid w:val="0092216D"/>
    <w:rsid w:val="0092242D"/>
    <w:rsid w:val="009224E7"/>
    <w:rsid w:val="00922B6D"/>
    <w:rsid w:val="00924EDD"/>
    <w:rsid w:val="00925648"/>
    <w:rsid w:val="00925DD1"/>
    <w:rsid w:val="0092666D"/>
    <w:rsid w:val="00926723"/>
    <w:rsid w:val="00927209"/>
    <w:rsid w:val="00927D97"/>
    <w:rsid w:val="00930989"/>
    <w:rsid w:val="00930D13"/>
    <w:rsid w:val="00931361"/>
    <w:rsid w:val="009317A7"/>
    <w:rsid w:val="009319E9"/>
    <w:rsid w:val="009322E2"/>
    <w:rsid w:val="0093235D"/>
    <w:rsid w:val="00932482"/>
    <w:rsid w:val="00932548"/>
    <w:rsid w:val="00932D48"/>
    <w:rsid w:val="00932F1F"/>
    <w:rsid w:val="0093430A"/>
    <w:rsid w:val="0093448F"/>
    <w:rsid w:val="00934A86"/>
    <w:rsid w:val="00935D1B"/>
    <w:rsid w:val="00936573"/>
    <w:rsid w:val="00937BCC"/>
    <w:rsid w:val="00940D80"/>
    <w:rsid w:val="00941315"/>
    <w:rsid w:val="00941377"/>
    <w:rsid w:val="00941CBA"/>
    <w:rsid w:val="009440E1"/>
    <w:rsid w:val="0094556B"/>
    <w:rsid w:val="00945BB0"/>
    <w:rsid w:val="00946747"/>
    <w:rsid w:val="009468B2"/>
    <w:rsid w:val="00946A96"/>
    <w:rsid w:val="00946B49"/>
    <w:rsid w:val="00947000"/>
    <w:rsid w:val="00947AA6"/>
    <w:rsid w:val="00951744"/>
    <w:rsid w:val="00952596"/>
    <w:rsid w:val="00952D42"/>
    <w:rsid w:val="009548F9"/>
    <w:rsid w:val="0095509F"/>
    <w:rsid w:val="00955746"/>
    <w:rsid w:val="00955D76"/>
    <w:rsid w:val="009564E5"/>
    <w:rsid w:val="00956894"/>
    <w:rsid w:val="00957B91"/>
    <w:rsid w:val="00960539"/>
    <w:rsid w:val="00960CC0"/>
    <w:rsid w:val="00961061"/>
    <w:rsid w:val="009629CA"/>
    <w:rsid w:val="00962F49"/>
    <w:rsid w:val="009638AA"/>
    <w:rsid w:val="00963BB3"/>
    <w:rsid w:val="00964519"/>
    <w:rsid w:val="00965700"/>
    <w:rsid w:val="00965763"/>
    <w:rsid w:val="00966D06"/>
    <w:rsid w:val="009678BC"/>
    <w:rsid w:val="009679CF"/>
    <w:rsid w:val="00970362"/>
    <w:rsid w:val="0097070F"/>
    <w:rsid w:val="00970CB9"/>
    <w:rsid w:val="00971CB5"/>
    <w:rsid w:val="00972E36"/>
    <w:rsid w:val="00974E62"/>
    <w:rsid w:val="00975F38"/>
    <w:rsid w:val="00977F03"/>
    <w:rsid w:val="00977FF5"/>
    <w:rsid w:val="00980F33"/>
    <w:rsid w:val="00981259"/>
    <w:rsid w:val="00982245"/>
    <w:rsid w:val="00984021"/>
    <w:rsid w:val="0098444A"/>
    <w:rsid w:val="00985D22"/>
    <w:rsid w:val="0098623F"/>
    <w:rsid w:val="009875EC"/>
    <w:rsid w:val="00987FDD"/>
    <w:rsid w:val="009901D8"/>
    <w:rsid w:val="0099034F"/>
    <w:rsid w:val="0099098B"/>
    <w:rsid w:val="00990BE8"/>
    <w:rsid w:val="009911FA"/>
    <w:rsid w:val="009929B1"/>
    <w:rsid w:val="0099497B"/>
    <w:rsid w:val="00994BD5"/>
    <w:rsid w:val="009955C6"/>
    <w:rsid w:val="00995934"/>
    <w:rsid w:val="009959E5"/>
    <w:rsid w:val="00996424"/>
    <w:rsid w:val="009964FD"/>
    <w:rsid w:val="00996F71"/>
    <w:rsid w:val="00997129"/>
    <w:rsid w:val="009978B7"/>
    <w:rsid w:val="00997C68"/>
    <w:rsid w:val="009A04F6"/>
    <w:rsid w:val="009A069D"/>
    <w:rsid w:val="009A06C5"/>
    <w:rsid w:val="009A09A2"/>
    <w:rsid w:val="009A1501"/>
    <w:rsid w:val="009A165A"/>
    <w:rsid w:val="009A21EC"/>
    <w:rsid w:val="009A25C9"/>
    <w:rsid w:val="009A30EA"/>
    <w:rsid w:val="009A33F1"/>
    <w:rsid w:val="009A3914"/>
    <w:rsid w:val="009A40DF"/>
    <w:rsid w:val="009A42D4"/>
    <w:rsid w:val="009A4453"/>
    <w:rsid w:val="009A4D23"/>
    <w:rsid w:val="009A644B"/>
    <w:rsid w:val="009A6EBF"/>
    <w:rsid w:val="009A7373"/>
    <w:rsid w:val="009A7535"/>
    <w:rsid w:val="009A7636"/>
    <w:rsid w:val="009A7677"/>
    <w:rsid w:val="009A7ED9"/>
    <w:rsid w:val="009A7F96"/>
    <w:rsid w:val="009B2A8D"/>
    <w:rsid w:val="009B2C03"/>
    <w:rsid w:val="009B316F"/>
    <w:rsid w:val="009B5F43"/>
    <w:rsid w:val="009B6238"/>
    <w:rsid w:val="009B68C6"/>
    <w:rsid w:val="009B6976"/>
    <w:rsid w:val="009B6BB0"/>
    <w:rsid w:val="009B6DCA"/>
    <w:rsid w:val="009B75CA"/>
    <w:rsid w:val="009B75F9"/>
    <w:rsid w:val="009B7753"/>
    <w:rsid w:val="009B7787"/>
    <w:rsid w:val="009B7C54"/>
    <w:rsid w:val="009C0617"/>
    <w:rsid w:val="009C245A"/>
    <w:rsid w:val="009C2635"/>
    <w:rsid w:val="009C2D37"/>
    <w:rsid w:val="009C3E37"/>
    <w:rsid w:val="009C3F4C"/>
    <w:rsid w:val="009C5A8B"/>
    <w:rsid w:val="009C5B5D"/>
    <w:rsid w:val="009C5C3B"/>
    <w:rsid w:val="009C5C92"/>
    <w:rsid w:val="009C5F94"/>
    <w:rsid w:val="009C63D9"/>
    <w:rsid w:val="009C6829"/>
    <w:rsid w:val="009C68D8"/>
    <w:rsid w:val="009D10F7"/>
    <w:rsid w:val="009D17BF"/>
    <w:rsid w:val="009D1D5F"/>
    <w:rsid w:val="009D26D8"/>
    <w:rsid w:val="009D4C64"/>
    <w:rsid w:val="009D7151"/>
    <w:rsid w:val="009D72BF"/>
    <w:rsid w:val="009E08C5"/>
    <w:rsid w:val="009E0E1F"/>
    <w:rsid w:val="009E12CF"/>
    <w:rsid w:val="009E178C"/>
    <w:rsid w:val="009E24F2"/>
    <w:rsid w:val="009E272A"/>
    <w:rsid w:val="009E2828"/>
    <w:rsid w:val="009E405B"/>
    <w:rsid w:val="009E40D0"/>
    <w:rsid w:val="009E4306"/>
    <w:rsid w:val="009E4DE6"/>
    <w:rsid w:val="009E6C37"/>
    <w:rsid w:val="009E6EE9"/>
    <w:rsid w:val="009E7D6D"/>
    <w:rsid w:val="009F00AA"/>
    <w:rsid w:val="009F03E1"/>
    <w:rsid w:val="009F13A7"/>
    <w:rsid w:val="009F2876"/>
    <w:rsid w:val="009F3C58"/>
    <w:rsid w:val="009F3D22"/>
    <w:rsid w:val="009F40A8"/>
    <w:rsid w:val="009F462F"/>
    <w:rsid w:val="009F51C6"/>
    <w:rsid w:val="009F5627"/>
    <w:rsid w:val="009F5CAD"/>
    <w:rsid w:val="009F6F40"/>
    <w:rsid w:val="00A00326"/>
    <w:rsid w:val="00A00D6D"/>
    <w:rsid w:val="00A0121B"/>
    <w:rsid w:val="00A01281"/>
    <w:rsid w:val="00A02147"/>
    <w:rsid w:val="00A02EFB"/>
    <w:rsid w:val="00A043B6"/>
    <w:rsid w:val="00A044D8"/>
    <w:rsid w:val="00A05E11"/>
    <w:rsid w:val="00A07BEC"/>
    <w:rsid w:val="00A12A8D"/>
    <w:rsid w:val="00A12D2A"/>
    <w:rsid w:val="00A13652"/>
    <w:rsid w:val="00A13DAA"/>
    <w:rsid w:val="00A13DC0"/>
    <w:rsid w:val="00A14151"/>
    <w:rsid w:val="00A14750"/>
    <w:rsid w:val="00A14891"/>
    <w:rsid w:val="00A14915"/>
    <w:rsid w:val="00A14B0C"/>
    <w:rsid w:val="00A16345"/>
    <w:rsid w:val="00A164D7"/>
    <w:rsid w:val="00A1705A"/>
    <w:rsid w:val="00A17A41"/>
    <w:rsid w:val="00A214E3"/>
    <w:rsid w:val="00A214F7"/>
    <w:rsid w:val="00A22CF4"/>
    <w:rsid w:val="00A23BFA"/>
    <w:rsid w:val="00A23E2B"/>
    <w:rsid w:val="00A25423"/>
    <w:rsid w:val="00A25B31"/>
    <w:rsid w:val="00A265D4"/>
    <w:rsid w:val="00A267A2"/>
    <w:rsid w:val="00A311C0"/>
    <w:rsid w:val="00A328CD"/>
    <w:rsid w:val="00A32B5D"/>
    <w:rsid w:val="00A32C48"/>
    <w:rsid w:val="00A35AA1"/>
    <w:rsid w:val="00A364D0"/>
    <w:rsid w:val="00A36541"/>
    <w:rsid w:val="00A3701A"/>
    <w:rsid w:val="00A37E67"/>
    <w:rsid w:val="00A400FC"/>
    <w:rsid w:val="00A40701"/>
    <w:rsid w:val="00A40807"/>
    <w:rsid w:val="00A413DE"/>
    <w:rsid w:val="00A41A60"/>
    <w:rsid w:val="00A429C3"/>
    <w:rsid w:val="00A44ABE"/>
    <w:rsid w:val="00A4532F"/>
    <w:rsid w:val="00A458C9"/>
    <w:rsid w:val="00A46169"/>
    <w:rsid w:val="00A472C0"/>
    <w:rsid w:val="00A475B7"/>
    <w:rsid w:val="00A478D9"/>
    <w:rsid w:val="00A47EB6"/>
    <w:rsid w:val="00A502F8"/>
    <w:rsid w:val="00A507D4"/>
    <w:rsid w:val="00A50C5F"/>
    <w:rsid w:val="00A51438"/>
    <w:rsid w:val="00A52418"/>
    <w:rsid w:val="00A5241E"/>
    <w:rsid w:val="00A529E7"/>
    <w:rsid w:val="00A53123"/>
    <w:rsid w:val="00A5324A"/>
    <w:rsid w:val="00A542BE"/>
    <w:rsid w:val="00A542C8"/>
    <w:rsid w:val="00A54C46"/>
    <w:rsid w:val="00A54DCA"/>
    <w:rsid w:val="00A54EBB"/>
    <w:rsid w:val="00A55E42"/>
    <w:rsid w:val="00A56587"/>
    <w:rsid w:val="00A568FA"/>
    <w:rsid w:val="00A57290"/>
    <w:rsid w:val="00A57423"/>
    <w:rsid w:val="00A60D76"/>
    <w:rsid w:val="00A60D97"/>
    <w:rsid w:val="00A6372F"/>
    <w:rsid w:val="00A63910"/>
    <w:rsid w:val="00A64B06"/>
    <w:rsid w:val="00A64DB6"/>
    <w:rsid w:val="00A65732"/>
    <w:rsid w:val="00A66332"/>
    <w:rsid w:val="00A66473"/>
    <w:rsid w:val="00A66974"/>
    <w:rsid w:val="00A66DE8"/>
    <w:rsid w:val="00A70254"/>
    <w:rsid w:val="00A7032F"/>
    <w:rsid w:val="00A71C34"/>
    <w:rsid w:val="00A71DB7"/>
    <w:rsid w:val="00A722BC"/>
    <w:rsid w:val="00A72A99"/>
    <w:rsid w:val="00A72DF9"/>
    <w:rsid w:val="00A7414A"/>
    <w:rsid w:val="00A76370"/>
    <w:rsid w:val="00A765B5"/>
    <w:rsid w:val="00A76652"/>
    <w:rsid w:val="00A7797C"/>
    <w:rsid w:val="00A77D67"/>
    <w:rsid w:val="00A81177"/>
    <w:rsid w:val="00A816D8"/>
    <w:rsid w:val="00A817BF"/>
    <w:rsid w:val="00A81991"/>
    <w:rsid w:val="00A81BCB"/>
    <w:rsid w:val="00A82A5F"/>
    <w:rsid w:val="00A82EE4"/>
    <w:rsid w:val="00A83C11"/>
    <w:rsid w:val="00A845E2"/>
    <w:rsid w:val="00A85ACB"/>
    <w:rsid w:val="00A861A4"/>
    <w:rsid w:val="00A8680C"/>
    <w:rsid w:val="00A86AC4"/>
    <w:rsid w:val="00A86BDC"/>
    <w:rsid w:val="00A8701F"/>
    <w:rsid w:val="00A872E4"/>
    <w:rsid w:val="00A915AC"/>
    <w:rsid w:val="00A91651"/>
    <w:rsid w:val="00A916A9"/>
    <w:rsid w:val="00A91ADD"/>
    <w:rsid w:val="00A91E02"/>
    <w:rsid w:val="00A929E7"/>
    <w:rsid w:val="00A9303A"/>
    <w:rsid w:val="00A9335B"/>
    <w:rsid w:val="00A939EE"/>
    <w:rsid w:val="00A93DA3"/>
    <w:rsid w:val="00A944B7"/>
    <w:rsid w:val="00A94AD0"/>
    <w:rsid w:val="00A9532B"/>
    <w:rsid w:val="00A953E7"/>
    <w:rsid w:val="00A953ED"/>
    <w:rsid w:val="00A95EEB"/>
    <w:rsid w:val="00A96E54"/>
    <w:rsid w:val="00A978D1"/>
    <w:rsid w:val="00AA02D5"/>
    <w:rsid w:val="00AA06DD"/>
    <w:rsid w:val="00AA07EE"/>
    <w:rsid w:val="00AA092C"/>
    <w:rsid w:val="00AA18DA"/>
    <w:rsid w:val="00AA1A30"/>
    <w:rsid w:val="00AA202F"/>
    <w:rsid w:val="00AA2D32"/>
    <w:rsid w:val="00AA3E54"/>
    <w:rsid w:val="00AA3F4D"/>
    <w:rsid w:val="00AA5C34"/>
    <w:rsid w:val="00AA5DED"/>
    <w:rsid w:val="00AA5E9E"/>
    <w:rsid w:val="00AA5FEC"/>
    <w:rsid w:val="00AA700D"/>
    <w:rsid w:val="00AA7160"/>
    <w:rsid w:val="00AA71B3"/>
    <w:rsid w:val="00AB08A1"/>
    <w:rsid w:val="00AB34E8"/>
    <w:rsid w:val="00AB4524"/>
    <w:rsid w:val="00AB4DE0"/>
    <w:rsid w:val="00AB5156"/>
    <w:rsid w:val="00AB599C"/>
    <w:rsid w:val="00AB625C"/>
    <w:rsid w:val="00AB676B"/>
    <w:rsid w:val="00AB7336"/>
    <w:rsid w:val="00AC09EF"/>
    <w:rsid w:val="00AC0B7C"/>
    <w:rsid w:val="00AC0C01"/>
    <w:rsid w:val="00AC0F8F"/>
    <w:rsid w:val="00AC179C"/>
    <w:rsid w:val="00AC20EA"/>
    <w:rsid w:val="00AC2A64"/>
    <w:rsid w:val="00AC4E53"/>
    <w:rsid w:val="00AC4E88"/>
    <w:rsid w:val="00AC55AC"/>
    <w:rsid w:val="00AC5AB8"/>
    <w:rsid w:val="00AC67F5"/>
    <w:rsid w:val="00AC6AFC"/>
    <w:rsid w:val="00AC7081"/>
    <w:rsid w:val="00AC7535"/>
    <w:rsid w:val="00AC76E6"/>
    <w:rsid w:val="00AC772B"/>
    <w:rsid w:val="00AC7801"/>
    <w:rsid w:val="00AC78F4"/>
    <w:rsid w:val="00AD01D5"/>
    <w:rsid w:val="00AD04E2"/>
    <w:rsid w:val="00AD10A6"/>
    <w:rsid w:val="00AD1767"/>
    <w:rsid w:val="00AD1768"/>
    <w:rsid w:val="00AD239A"/>
    <w:rsid w:val="00AD279F"/>
    <w:rsid w:val="00AD27DF"/>
    <w:rsid w:val="00AD2D52"/>
    <w:rsid w:val="00AD32A9"/>
    <w:rsid w:val="00AD3761"/>
    <w:rsid w:val="00AD384A"/>
    <w:rsid w:val="00AD3F0A"/>
    <w:rsid w:val="00AD55AE"/>
    <w:rsid w:val="00AD5D9E"/>
    <w:rsid w:val="00AD676D"/>
    <w:rsid w:val="00AD6E47"/>
    <w:rsid w:val="00AD79A8"/>
    <w:rsid w:val="00AD7E4E"/>
    <w:rsid w:val="00AE01FF"/>
    <w:rsid w:val="00AE02BB"/>
    <w:rsid w:val="00AE086C"/>
    <w:rsid w:val="00AE28F9"/>
    <w:rsid w:val="00AE2E80"/>
    <w:rsid w:val="00AE358C"/>
    <w:rsid w:val="00AE514E"/>
    <w:rsid w:val="00AE5650"/>
    <w:rsid w:val="00AE7C24"/>
    <w:rsid w:val="00AE7D1D"/>
    <w:rsid w:val="00AF04C3"/>
    <w:rsid w:val="00AF17A1"/>
    <w:rsid w:val="00AF1EE5"/>
    <w:rsid w:val="00AF311A"/>
    <w:rsid w:val="00AF336A"/>
    <w:rsid w:val="00AF3BE9"/>
    <w:rsid w:val="00AF5163"/>
    <w:rsid w:val="00AF526D"/>
    <w:rsid w:val="00AF534A"/>
    <w:rsid w:val="00AF613D"/>
    <w:rsid w:val="00AF6A32"/>
    <w:rsid w:val="00AF6FEF"/>
    <w:rsid w:val="00AF7EBC"/>
    <w:rsid w:val="00B00B3D"/>
    <w:rsid w:val="00B00CD7"/>
    <w:rsid w:val="00B00F05"/>
    <w:rsid w:val="00B015E8"/>
    <w:rsid w:val="00B02400"/>
    <w:rsid w:val="00B031CE"/>
    <w:rsid w:val="00B034B5"/>
    <w:rsid w:val="00B04219"/>
    <w:rsid w:val="00B04AB7"/>
    <w:rsid w:val="00B05E11"/>
    <w:rsid w:val="00B069F7"/>
    <w:rsid w:val="00B07DE3"/>
    <w:rsid w:val="00B10593"/>
    <w:rsid w:val="00B11FB1"/>
    <w:rsid w:val="00B1202A"/>
    <w:rsid w:val="00B134B3"/>
    <w:rsid w:val="00B13E58"/>
    <w:rsid w:val="00B14745"/>
    <w:rsid w:val="00B14B23"/>
    <w:rsid w:val="00B15178"/>
    <w:rsid w:val="00B1535A"/>
    <w:rsid w:val="00B155F9"/>
    <w:rsid w:val="00B15B10"/>
    <w:rsid w:val="00B1788F"/>
    <w:rsid w:val="00B17B1F"/>
    <w:rsid w:val="00B200C2"/>
    <w:rsid w:val="00B201A0"/>
    <w:rsid w:val="00B2131D"/>
    <w:rsid w:val="00B2178E"/>
    <w:rsid w:val="00B2335C"/>
    <w:rsid w:val="00B2499A"/>
    <w:rsid w:val="00B2605C"/>
    <w:rsid w:val="00B262D7"/>
    <w:rsid w:val="00B26495"/>
    <w:rsid w:val="00B2666A"/>
    <w:rsid w:val="00B269BD"/>
    <w:rsid w:val="00B27089"/>
    <w:rsid w:val="00B2746E"/>
    <w:rsid w:val="00B277AC"/>
    <w:rsid w:val="00B27A44"/>
    <w:rsid w:val="00B3031A"/>
    <w:rsid w:val="00B30512"/>
    <w:rsid w:val="00B314BF"/>
    <w:rsid w:val="00B32206"/>
    <w:rsid w:val="00B32B3D"/>
    <w:rsid w:val="00B338E3"/>
    <w:rsid w:val="00B33983"/>
    <w:rsid w:val="00B34496"/>
    <w:rsid w:val="00B3520F"/>
    <w:rsid w:val="00B35882"/>
    <w:rsid w:val="00B36723"/>
    <w:rsid w:val="00B36C45"/>
    <w:rsid w:val="00B372DD"/>
    <w:rsid w:val="00B3747F"/>
    <w:rsid w:val="00B4177E"/>
    <w:rsid w:val="00B41C43"/>
    <w:rsid w:val="00B426BE"/>
    <w:rsid w:val="00B42A0D"/>
    <w:rsid w:val="00B431DC"/>
    <w:rsid w:val="00B432C8"/>
    <w:rsid w:val="00B4332A"/>
    <w:rsid w:val="00B433DE"/>
    <w:rsid w:val="00B43CC3"/>
    <w:rsid w:val="00B43FFF"/>
    <w:rsid w:val="00B4620C"/>
    <w:rsid w:val="00B46498"/>
    <w:rsid w:val="00B46C76"/>
    <w:rsid w:val="00B47916"/>
    <w:rsid w:val="00B5094F"/>
    <w:rsid w:val="00B50E35"/>
    <w:rsid w:val="00B5145C"/>
    <w:rsid w:val="00B51B12"/>
    <w:rsid w:val="00B51C73"/>
    <w:rsid w:val="00B52304"/>
    <w:rsid w:val="00B5231E"/>
    <w:rsid w:val="00B53238"/>
    <w:rsid w:val="00B536A3"/>
    <w:rsid w:val="00B5383B"/>
    <w:rsid w:val="00B5478D"/>
    <w:rsid w:val="00B561EE"/>
    <w:rsid w:val="00B56F36"/>
    <w:rsid w:val="00B57485"/>
    <w:rsid w:val="00B600CD"/>
    <w:rsid w:val="00B608EB"/>
    <w:rsid w:val="00B60A77"/>
    <w:rsid w:val="00B61895"/>
    <w:rsid w:val="00B6242B"/>
    <w:rsid w:val="00B6260D"/>
    <w:rsid w:val="00B62983"/>
    <w:rsid w:val="00B62B10"/>
    <w:rsid w:val="00B62E44"/>
    <w:rsid w:val="00B633E9"/>
    <w:rsid w:val="00B63A9D"/>
    <w:rsid w:val="00B64503"/>
    <w:rsid w:val="00B646AB"/>
    <w:rsid w:val="00B662BD"/>
    <w:rsid w:val="00B663D2"/>
    <w:rsid w:val="00B664E9"/>
    <w:rsid w:val="00B66939"/>
    <w:rsid w:val="00B66BBF"/>
    <w:rsid w:val="00B66D31"/>
    <w:rsid w:val="00B70BD2"/>
    <w:rsid w:val="00B7116F"/>
    <w:rsid w:val="00B71BE4"/>
    <w:rsid w:val="00B71F2B"/>
    <w:rsid w:val="00B7216B"/>
    <w:rsid w:val="00B723DB"/>
    <w:rsid w:val="00B727B9"/>
    <w:rsid w:val="00B72999"/>
    <w:rsid w:val="00B734C7"/>
    <w:rsid w:val="00B7417D"/>
    <w:rsid w:val="00B75BB3"/>
    <w:rsid w:val="00B767B5"/>
    <w:rsid w:val="00B767DF"/>
    <w:rsid w:val="00B774ED"/>
    <w:rsid w:val="00B7754A"/>
    <w:rsid w:val="00B775D5"/>
    <w:rsid w:val="00B775DB"/>
    <w:rsid w:val="00B77FDF"/>
    <w:rsid w:val="00B80EB5"/>
    <w:rsid w:val="00B81221"/>
    <w:rsid w:val="00B81979"/>
    <w:rsid w:val="00B81A6E"/>
    <w:rsid w:val="00B82CBC"/>
    <w:rsid w:val="00B833F4"/>
    <w:rsid w:val="00B83705"/>
    <w:rsid w:val="00B838C9"/>
    <w:rsid w:val="00B83A1B"/>
    <w:rsid w:val="00B84BCA"/>
    <w:rsid w:val="00B84E8A"/>
    <w:rsid w:val="00B911E2"/>
    <w:rsid w:val="00B9157B"/>
    <w:rsid w:val="00B91897"/>
    <w:rsid w:val="00B92E9A"/>
    <w:rsid w:val="00B9317E"/>
    <w:rsid w:val="00B940F2"/>
    <w:rsid w:val="00B94F38"/>
    <w:rsid w:val="00B9536A"/>
    <w:rsid w:val="00B96D1F"/>
    <w:rsid w:val="00B97006"/>
    <w:rsid w:val="00B97170"/>
    <w:rsid w:val="00B975A0"/>
    <w:rsid w:val="00BA0B82"/>
    <w:rsid w:val="00BA0BA5"/>
    <w:rsid w:val="00BA3F1F"/>
    <w:rsid w:val="00BA4BE7"/>
    <w:rsid w:val="00BA4E76"/>
    <w:rsid w:val="00BA5388"/>
    <w:rsid w:val="00BA5C85"/>
    <w:rsid w:val="00BA5D88"/>
    <w:rsid w:val="00BA6AEB"/>
    <w:rsid w:val="00BB01C6"/>
    <w:rsid w:val="00BB0FB4"/>
    <w:rsid w:val="00BB11FF"/>
    <w:rsid w:val="00BB1535"/>
    <w:rsid w:val="00BB32E1"/>
    <w:rsid w:val="00BB4046"/>
    <w:rsid w:val="00BB56DB"/>
    <w:rsid w:val="00BB5ABA"/>
    <w:rsid w:val="00BB6C25"/>
    <w:rsid w:val="00BB7B6E"/>
    <w:rsid w:val="00BC024E"/>
    <w:rsid w:val="00BC0265"/>
    <w:rsid w:val="00BC12C1"/>
    <w:rsid w:val="00BC2863"/>
    <w:rsid w:val="00BC479F"/>
    <w:rsid w:val="00BC5237"/>
    <w:rsid w:val="00BC63E4"/>
    <w:rsid w:val="00BC7EB0"/>
    <w:rsid w:val="00BD23B4"/>
    <w:rsid w:val="00BD2A7D"/>
    <w:rsid w:val="00BD2AF7"/>
    <w:rsid w:val="00BD3B6D"/>
    <w:rsid w:val="00BD3D74"/>
    <w:rsid w:val="00BD4A6E"/>
    <w:rsid w:val="00BD56EA"/>
    <w:rsid w:val="00BD5A37"/>
    <w:rsid w:val="00BD5B20"/>
    <w:rsid w:val="00BD5EC2"/>
    <w:rsid w:val="00BD69CC"/>
    <w:rsid w:val="00BD6CC9"/>
    <w:rsid w:val="00BD6DEC"/>
    <w:rsid w:val="00BE09C9"/>
    <w:rsid w:val="00BE0BE7"/>
    <w:rsid w:val="00BE0DBB"/>
    <w:rsid w:val="00BE0EB0"/>
    <w:rsid w:val="00BE16A4"/>
    <w:rsid w:val="00BE1A91"/>
    <w:rsid w:val="00BE1DFD"/>
    <w:rsid w:val="00BE223A"/>
    <w:rsid w:val="00BE236B"/>
    <w:rsid w:val="00BE2DC4"/>
    <w:rsid w:val="00BE3C81"/>
    <w:rsid w:val="00BE3F59"/>
    <w:rsid w:val="00BE4DFB"/>
    <w:rsid w:val="00BE594B"/>
    <w:rsid w:val="00BE62D2"/>
    <w:rsid w:val="00BE7169"/>
    <w:rsid w:val="00BE71E8"/>
    <w:rsid w:val="00BE7F7D"/>
    <w:rsid w:val="00BF1873"/>
    <w:rsid w:val="00BF1E89"/>
    <w:rsid w:val="00BF2784"/>
    <w:rsid w:val="00BF32E5"/>
    <w:rsid w:val="00BF331B"/>
    <w:rsid w:val="00BF3A38"/>
    <w:rsid w:val="00BF3F4D"/>
    <w:rsid w:val="00BF42DB"/>
    <w:rsid w:val="00BF5503"/>
    <w:rsid w:val="00BF59E8"/>
    <w:rsid w:val="00BF6FAA"/>
    <w:rsid w:val="00BF7589"/>
    <w:rsid w:val="00BF75C0"/>
    <w:rsid w:val="00BF79D9"/>
    <w:rsid w:val="00C006AB"/>
    <w:rsid w:val="00C00F0F"/>
    <w:rsid w:val="00C01E7F"/>
    <w:rsid w:val="00C02F99"/>
    <w:rsid w:val="00C05345"/>
    <w:rsid w:val="00C055F2"/>
    <w:rsid w:val="00C055FC"/>
    <w:rsid w:val="00C05915"/>
    <w:rsid w:val="00C061C4"/>
    <w:rsid w:val="00C077D6"/>
    <w:rsid w:val="00C100D3"/>
    <w:rsid w:val="00C111B7"/>
    <w:rsid w:val="00C115BC"/>
    <w:rsid w:val="00C11A33"/>
    <w:rsid w:val="00C13A1A"/>
    <w:rsid w:val="00C165D6"/>
    <w:rsid w:val="00C1716F"/>
    <w:rsid w:val="00C2155D"/>
    <w:rsid w:val="00C220C9"/>
    <w:rsid w:val="00C22ECB"/>
    <w:rsid w:val="00C23D86"/>
    <w:rsid w:val="00C245DE"/>
    <w:rsid w:val="00C24D94"/>
    <w:rsid w:val="00C251E9"/>
    <w:rsid w:val="00C2590F"/>
    <w:rsid w:val="00C26262"/>
    <w:rsid w:val="00C26672"/>
    <w:rsid w:val="00C2689A"/>
    <w:rsid w:val="00C26C6C"/>
    <w:rsid w:val="00C26D57"/>
    <w:rsid w:val="00C271AA"/>
    <w:rsid w:val="00C30340"/>
    <w:rsid w:val="00C3057A"/>
    <w:rsid w:val="00C323AA"/>
    <w:rsid w:val="00C3275D"/>
    <w:rsid w:val="00C32C3B"/>
    <w:rsid w:val="00C33978"/>
    <w:rsid w:val="00C33DFD"/>
    <w:rsid w:val="00C33E45"/>
    <w:rsid w:val="00C3431D"/>
    <w:rsid w:val="00C3513A"/>
    <w:rsid w:val="00C35DC9"/>
    <w:rsid w:val="00C37D8B"/>
    <w:rsid w:val="00C40FED"/>
    <w:rsid w:val="00C41E7D"/>
    <w:rsid w:val="00C42574"/>
    <w:rsid w:val="00C4286D"/>
    <w:rsid w:val="00C430AA"/>
    <w:rsid w:val="00C44A01"/>
    <w:rsid w:val="00C45B23"/>
    <w:rsid w:val="00C467E9"/>
    <w:rsid w:val="00C46EC4"/>
    <w:rsid w:val="00C500FA"/>
    <w:rsid w:val="00C50FD2"/>
    <w:rsid w:val="00C51321"/>
    <w:rsid w:val="00C52291"/>
    <w:rsid w:val="00C523DA"/>
    <w:rsid w:val="00C5254A"/>
    <w:rsid w:val="00C5274D"/>
    <w:rsid w:val="00C52943"/>
    <w:rsid w:val="00C53D9B"/>
    <w:rsid w:val="00C541C4"/>
    <w:rsid w:val="00C541DB"/>
    <w:rsid w:val="00C5441D"/>
    <w:rsid w:val="00C550D4"/>
    <w:rsid w:val="00C562A4"/>
    <w:rsid w:val="00C56759"/>
    <w:rsid w:val="00C56F3A"/>
    <w:rsid w:val="00C5709F"/>
    <w:rsid w:val="00C57F6B"/>
    <w:rsid w:val="00C601B3"/>
    <w:rsid w:val="00C60EF5"/>
    <w:rsid w:val="00C61321"/>
    <w:rsid w:val="00C61567"/>
    <w:rsid w:val="00C616CF"/>
    <w:rsid w:val="00C61B68"/>
    <w:rsid w:val="00C62C68"/>
    <w:rsid w:val="00C62F5D"/>
    <w:rsid w:val="00C6421F"/>
    <w:rsid w:val="00C66CDA"/>
    <w:rsid w:val="00C67383"/>
    <w:rsid w:val="00C7014B"/>
    <w:rsid w:val="00C71402"/>
    <w:rsid w:val="00C71BD8"/>
    <w:rsid w:val="00C72810"/>
    <w:rsid w:val="00C7336A"/>
    <w:rsid w:val="00C77084"/>
    <w:rsid w:val="00C77FB8"/>
    <w:rsid w:val="00C8023C"/>
    <w:rsid w:val="00C814F2"/>
    <w:rsid w:val="00C81EF6"/>
    <w:rsid w:val="00C821BC"/>
    <w:rsid w:val="00C8243E"/>
    <w:rsid w:val="00C83641"/>
    <w:rsid w:val="00C83F98"/>
    <w:rsid w:val="00C8493E"/>
    <w:rsid w:val="00C85C32"/>
    <w:rsid w:val="00C86562"/>
    <w:rsid w:val="00C8729B"/>
    <w:rsid w:val="00C90020"/>
    <w:rsid w:val="00C9086E"/>
    <w:rsid w:val="00C91829"/>
    <w:rsid w:val="00C92937"/>
    <w:rsid w:val="00C931BA"/>
    <w:rsid w:val="00C93EEF"/>
    <w:rsid w:val="00C9408C"/>
    <w:rsid w:val="00C943D4"/>
    <w:rsid w:val="00C9573C"/>
    <w:rsid w:val="00C968CE"/>
    <w:rsid w:val="00C97B5B"/>
    <w:rsid w:val="00CA02C0"/>
    <w:rsid w:val="00CA2591"/>
    <w:rsid w:val="00CA5494"/>
    <w:rsid w:val="00CA581B"/>
    <w:rsid w:val="00CA6B76"/>
    <w:rsid w:val="00CA709F"/>
    <w:rsid w:val="00CA7821"/>
    <w:rsid w:val="00CA7A15"/>
    <w:rsid w:val="00CB0367"/>
    <w:rsid w:val="00CB0DB8"/>
    <w:rsid w:val="00CB0DFE"/>
    <w:rsid w:val="00CB2B2E"/>
    <w:rsid w:val="00CB4495"/>
    <w:rsid w:val="00CB4EF2"/>
    <w:rsid w:val="00CB5185"/>
    <w:rsid w:val="00CB6A07"/>
    <w:rsid w:val="00CB6E7A"/>
    <w:rsid w:val="00CB79D4"/>
    <w:rsid w:val="00CB7B1E"/>
    <w:rsid w:val="00CC000C"/>
    <w:rsid w:val="00CC02E7"/>
    <w:rsid w:val="00CC040E"/>
    <w:rsid w:val="00CC14F2"/>
    <w:rsid w:val="00CC1A94"/>
    <w:rsid w:val="00CC1D01"/>
    <w:rsid w:val="00CC29CE"/>
    <w:rsid w:val="00CC2AFB"/>
    <w:rsid w:val="00CC3987"/>
    <w:rsid w:val="00CC3C97"/>
    <w:rsid w:val="00CC51CF"/>
    <w:rsid w:val="00CC75DE"/>
    <w:rsid w:val="00CD0AF4"/>
    <w:rsid w:val="00CD0B14"/>
    <w:rsid w:val="00CD0C5F"/>
    <w:rsid w:val="00CD16DF"/>
    <w:rsid w:val="00CD1FA0"/>
    <w:rsid w:val="00CD2F6C"/>
    <w:rsid w:val="00CD55CD"/>
    <w:rsid w:val="00CD573A"/>
    <w:rsid w:val="00CD5960"/>
    <w:rsid w:val="00CD67CE"/>
    <w:rsid w:val="00CD69AC"/>
    <w:rsid w:val="00CD6A88"/>
    <w:rsid w:val="00CD7220"/>
    <w:rsid w:val="00CE1016"/>
    <w:rsid w:val="00CE17D1"/>
    <w:rsid w:val="00CE1E91"/>
    <w:rsid w:val="00CE22A1"/>
    <w:rsid w:val="00CE24F2"/>
    <w:rsid w:val="00CE26D2"/>
    <w:rsid w:val="00CE3F44"/>
    <w:rsid w:val="00CE4169"/>
    <w:rsid w:val="00CE4B37"/>
    <w:rsid w:val="00CE5BFE"/>
    <w:rsid w:val="00CE6B47"/>
    <w:rsid w:val="00CF0B96"/>
    <w:rsid w:val="00CF137F"/>
    <w:rsid w:val="00CF2151"/>
    <w:rsid w:val="00CF475D"/>
    <w:rsid w:val="00CF5812"/>
    <w:rsid w:val="00CF5922"/>
    <w:rsid w:val="00CF5CED"/>
    <w:rsid w:val="00CF6846"/>
    <w:rsid w:val="00D00250"/>
    <w:rsid w:val="00D029BD"/>
    <w:rsid w:val="00D02E3A"/>
    <w:rsid w:val="00D031A5"/>
    <w:rsid w:val="00D03E18"/>
    <w:rsid w:val="00D041DD"/>
    <w:rsid w:val="00D051A5"/>
    <w:rsid w:val="00D058F3"/>
    <w:rsid w:val="00D05FCF"/>
    <w:rsid w:val="00D063E8"/>
    <w:rsid w:val="00D06BE6"/>
    <w:rsid w:val="00D06D88"/>
    <w:rsid w:val="00D06DAE"/>
    <w:rsid w:val="00D100EC"/>
    <w:rsid w:val="00D1011A"/>
    <w:rsid w:val="00D10435"/>
    <w:rsid w:val="00D1203E"/>
    <w:rsid w:val="00D1391A"/>
    <w:rsid w:val="00D13C68"/>
    <w:rsid w:val="00D140D3"/>
    <w:rsid w:val="00D14467"/>
    <w:rsid w:val="00D14598"/>
    <w:rsid w:val="00D148F0"/>
    <w:rsid w:val="00D165A7"/>
    <w:rsid w:val="00D16C03"/>
    <w:rsid w:val="00D200C2"/>
    <w:rsid w:val="00D2085C"/>
    <w:rsid w:val="00D21528"/>
    <w:rsid w:val="00D21E3B"/>
    <w:rsid w:val="00D22BC9"/>
    <w:rsid w:val="00D23318"/>
    <w:rsid w:val="00D2371D"/>
    <w:rsid w:val="00D268E3"/>
    <w:rsid w:val="00D27A45"/>
    <w:rsid w:val="00D27E0D"/>
    <w:rsid w:val="00D3113D"/>
    <w:rsid w:val="00D31287"/>
    <w:rsid w:val="00D325AE"/>
    <w:rsid w:val="00D32A6B"/>
    <w:rsid w:val="00D32D36"/>
    <w:rsid w:val="00D33C75"/>
    <w:rsid w:val="00D343BF"/>
    <w:rsid w:val="00D34C3B"/>
    <w:rsid w:val="00D35091"/>
    <w:rsid w:val="00D35E76"/>
    <w:rsid w:val="00D36AE1"/>
    <w:rsid w:val="00D37BF3"/>
    <w:rsid w:val="00D40BBB"/>
    <w:rsid w:val="00D417A0"/>
    <w:rsid w:val="00D417A2"/>
    <w:rsid w:val="00D41A6B"/>
    <w:rsid w:val="00D4253E"/>
    <w:rsid w:val="00D425AC"/>
    <w:rsid w:val="00D42AD4"/>
    <w:rsid w:val="00D430F5"/>
    <w:rsid w:val="00D44F22"/>
    <w:rsid w:val="00D452AF"/>
    <w:rsid w:val="00D4677F"/>
    <w:rsid w:val="00D46B0F"/>
    <w:rsid w:val="00D47CEC"/>
    <w:rsid w:val="00D50B75"/>
    <w:rsid w:val="00D51574"/>
    <w:rsid w:val="00D54880"/>
    <w:rsid w:val="00D55065"/>
    <w:rsid w:val="00D55687"/>
    <w:rsid w:val="00D55EA8"/>
    <w:rsid w:val="00D565B6"/>
    <w:rsid w:val="00D60169"/>
    <w:rsid w:val="00D62D81"/>
    <w:rsid w:val="00D63175"/>
    <w:rsid w:val="00D63181"/>
    <w:rsid w:val="00D63CC8"/>
    <w:rsid w:val="00D66B4B"/>
    <w:rsid w:val="00D66C17"/>
    <w:rsid w:val="00D671DD"/>
    <w:rsid w:val="00D71BAC"/>
    <w:rsid w:val="00D71FAC"/>
    <w:rsid w:val="00D72559"/>
    <w:rsid w:val="00D72962"/>
    <w:rsid w:val="00D73956"/>
    <w:rsid w:val="00D73997"/>
    <w:rsid w:val="00D747D1"/>
    <w:rsid w:val="00D7482F"/>
    <w:rsid w:val="00D7485C"/>
    <w:rsid w:val="00D76094"/>
    <w:rsid w:val="00D76755"/>
    <w:rsid w:val="00D771FD"/>
    <w:rsid w:val="00D77BA6"/>
    <w:rsid w:val="00D77E7E"/>
    <w:rsid w:val="00D8195E"/>
    <w:rsid w:val="00D819BE"/>
    <w:rsid w:val="00D81BBD"/>
    <w:rsid w:val="00D81E21"/>
    <w:rsid w:val="00D82890"/>
    <w:rsid w:val="00D82BC1"/>
    <w:rsid w:val="00D83A8E"/>
    <w:rsid w:val="00D84403"/>
    <w:rsid w:val="00D846F7"/>
    <w:rsid w:val="00D852E5"/>
    <w:rsid w:val="00D85525"/>
    <w:rsid w:val="00D86278"/>
    <w:rsid w:val="00D864DB"/>
    <w:rsid w:val="00D86A13"/>
    <w:rsid w:val="00D87291"/>
    <w:rsid w:val="00D874FE"/>
    <w:rsid w:val="00D87D5A"/>
    <w:rsid w:val="00D90100"/>
    <w:rsid w:val="00D905CA"/>
    <w:rsid w:val="00D90B75"/>
    <w:rsid w:val="00D90E8F"/>
    <w:rsid w:val="00D90EAC"/>
    <w:rsid w:val="00D91178"/>
    <w:rsid w:val="00D93E5F"/>
    <w:rsid w:val="00D94618"/>
    <w:rsid w:val="00D950D0"/>
    <w:rsid w:val="00D9592D"/>
    <w:rsid w:val="00D95E28"/>
    <w:rsid w:val="00D96030"/>
    <w:rsid w:val="00D963EA"/>
    <w:rsid w:val="00D9640A"/>
    <w:rsid w:val="00D967D0"/>
    <w:rsid w:val="00D96FDD"/>
    <w:rsid w:val="00D97A62"/>
    <w:rsid w:val="00D97C51"/>
    <w:rsid w:val="00DA082A"/>
    <w:rsid w:val="00DA08C6"/>
    <w:rsid w:val="00DA1533"/>
    <w:rsid w:val="00DA2592"/>
    <w:rsid w:val="00DA26F9"/>
    <w:rsid w:val="00DA2753"/>
    <w:rsid w:val="00DA2E1A"/>
    <w:rsid w:val="00DA32AF"/>
    <w:rsid w:val="00DA4FB8"/>
    <w:rsid w:val="00DA57F0"/>
    <w:rsid w:val="00DA6FD3"/>
    <w:rsid w:val="00DA7613"/>
    <w:rsid w:val="00DA78A1"/>
    <w:rsid w:val="00DB0762"/>
    <w:rsid w:val="00DB0AFD"/>
    <w:rsid w:val="00DB1289"/>
    <w:rsid w:val="00DB1867"/>
    <w:rsid w:val="00DB1AD4"/>
    <w:rsid w:val="00DB1EF7"/>
    <w:rsid w:val="00DB32EE"/>
    <w:rsid w:val="00DB345D"/>
    <w:rsid w:val="00DB41DC"/>
    <w:rsid w:val="00DB47A6"/>
    <w:rsid w:val="00DB491F"/>
    <w:rsid w:val="00DB4C46"/>
    <w:rsid w:val="00DB6C09"/>
    <w:rsid w:val="00DB76F9"/>
    <w:rsid w:val="00DC051E"/>
    <w:rsid w:val="00DC06BC"/>
    <w:rsid w:val="00DC0C73"/>
    <w:rsid w:val="00DC134E"/>
    <w:rsid w:val="00DC1620"/>
    <w:rsid w:val="00DC2C98"/>
    <w:rsid w:val="00DC311E"/>
    <w:rsid w:val="00DC3224"/>
    <w:rsid w:val="00DC35E7"/>
    <w:rsid w:val="00DC393B"/>
    <w:rsid w:val="00DC53A3"/>
    <w:rsid w:val="00DC5EBA"/>
    <w:rsid w:val="00DC6919"/>
    <w:rsid w:val="00DC6DFB"/>
    <w:rsid w:val="00DC7569"/>
    <w:rsid w:val="00DC7D44"/>
    <w:rsid w:val="00DD05F7"/>
    <w:rsid w:val="00DD07C8"/>
    <w:rsid w:val="00DD1485"/>
    <w:rsid w:val="00DD1FC9"/>
    <w:rsid w:val="00DD2AE3"/>
    <w:rsid w:val="00DD4089"/>
    <w:rsid w:val="00DD50B6"/>
    <w:rsid w:val="00DD5C34"/>
    <w:rsid w:val="00DD6BDA"/>
    <w:rsid w:val="00DD7489"/>
    <w:rsid w:val="00DE019C"/>
    <w:rsid w:val="00DE05CE"/>
    <w:rsid w:val="00DE092C"/>
    <w:rsid w:val="00DE1BC1"/>
    <w:rsid w:val="00DE1F53"/>
    <w:rsid w:val="00DE2041"/>
    <w:rsid w:val="00DE2091"/>
    <w:rsid w:val="00DE2384"/>
    <w:rsid w:val="00DE3AFF"/>
    <w:rsid w:val="00DE3E1E"/>
    <w:rsid w:val="00DE493B"/>
    <w:rsid w:val="00DE540B"/>
    <w:rsid w:val="00DE6567"/>
    <w:rsid w:val="00DE7A72"/>
    <w:rsid w:val="00DF0CE3"/>
    <w:rsid w:val="00DF22DC"/>
    <w:rsid w:val="00DF2B46"/>
    <w:rsid w:val="00DF32FC"/>
    <w:rsid w:val="00DF3357"/>
    <w:rsid w:val="00DF3555"/>
    <w:rsid w:val="00DF38CA"/>
    <w:rsid w:val="00DF3DC1"/>
    <w:rsid w:val="00DF4129"/>
    <w:rsid w:val="00DF47D1"/>
    <w:rsid w:val="00DF5030"/>
    <w:rsid w:val="00DF510E"/>
    <w:rsid w:val="00DF7AA5"/>
    <w:rsid w:val="00E022C7"/>
    <w:rsid w:val="00E02B96"/>
    <w:rsid w:val="00E0417E"/>
    <w:rsid w:val="00E04299"/>
    <w:rsid w:val="00E042CA"/>
    <w:rsid w:val="00E044B4"/>
    <w:rsid w:val="00E04616"/>
    <w:rsid w:val="00E04BAB"/>
    <w:rsid w:val="00E05337"/>
    <w:rsid w:val="00E055E2"/>
    <w:rsid w:val="00E0568E"/>
    <w:rsid w:val="00E0583E"/>
    <w:rsid w:val="00E05A7B"/>
    <w:rsid w:val="00E05BA4"/>
    <w:rsid w:val="00E05E42"/>
    <w:rsid w:val="00E063FD"/>
    <w:rsid w:val="00E06DFB"/>
    <w:rsid w:val="00E06E8D"/>
    <w:rsid w:val="00E079AE"/>
    <w:rsid w:val="00E10131"/>
    <w:rsid w:val="00E11FAD"/>
    <w:rsid w:val="00E12ECD"/>
    <w:rsid w:val="00E13448"/>
    <w:rsid w:val="00E136D6"/>
    <w:rsid w:val="00E136F6"/>
    <w:rsid w:val="00E140AD"/>
    <w:rsid w:val="00E14EA5"/>
    <w:rsid w:val="00E15A84"/>
    <w:rsid w:val="00E15F23"/>
    <w:rsid w:val="00E17D0C"/>
    <w:rsid w:val="00E2148D"/>
    <w:rsid w:val="00E214B2"/>
    <w:rsid w:val="00E21859"/>
    <w:rsid w:val="00E21DCC"/>
    <w:rsid w:val="00E22BA0"/>
    <w:rsid w:val="00E242B4"/>
    <w:rsid w:val="00E24983"/>
    <w:rsid w:val="00E24EBF"/>
    <w:rsid w:val="00E26323"/>
    <w:rsid w:val="00E26460"/>
    <w:rsid w:val="00E26774"/>
    <w:rsid w:val="00E26FEE"/>
    <w:rsid w:val="00E303C6"/>
    <w:rsid w:val="00E311FE"/>
    <w:rsid w:val="00E32055"/>
    <w:rsid w:val="00E323CD"/>
    <w:rsid w:val="00E33275"/>
    <w:rsid w:val="00E34CB8"/>
    <w:rsid w:val="00E366D0"/>
    <w:rsid w:val="00E40907"/>
    <w:rsid w:val="00E409D6"/>
    <w:rsid w:val="00E4113A"/>
    <w:rsid w:val="00E43171"/>
    <w:rsid w:val="00E43CB3"/>
    <w:rsid w:val="00E4403A"/>
    <w:rsid w:val="00E454D5"/>
    <w:rsid w:val="00E466FF"/>
    <w:rsid w:val="00E46995"/>
    <w:rsid w:val="00E47F21"/>
    <w:rsid w:val="00E50609"/>
    <w:rsid w:val="00E5111E"/>
    <w:rsid w:val="00E51138"/>
    <w:rsid w:val="00E54E49"/>
    <w:rsid w:val="00E560A1"/>
    <w:rsid w:val="00E56165"/>
    <w:rsid w:val="00E563D5"/>
    <w:rsid w:val="00E57217"/>
    <w:rsid w:val="00E57522"/>
    <w:rsid w:val="00E57A72"/>
    <w:rsid w:val="00E61770"/>
    <w:rsid w:val="00E61969"/>
    <w:rsid w:val="00E61C4E"/>
    <w:rsid w:val="00E61E90"/>
    <w:rsid w:val="00E62FB7"/>
    <w:rsid w:val="00E637F9"/>
    <w:rsid w:val="00E63ABE"/>
    <w:rsid w:val="00E6507B"/>
    <w:rsid w:val="00E65BA4"/>
    <w:rsid w:val="00E66A50"/>
    <w:rsid w:val="00E671D0"/>
    <w:rsid w:val="00E67EC4"/>
    <w:rsid w:val="00E7071C"/>
    <w:rsid w:val="00E70A29"/>
    <w:rsid w:val="00E711FD"/>
    <w:rsid w:val="00E71AEC"/>
    <w:rsid w:val="00E71E7D"/>
    <w:rsid w:val="00E72279"/>
    <w:rsid w:val="00E725D7"/>
    <w:rsid w:val="00E726C0"/>
    <w:rsid w:val="00E74A6C"/>
    <w:rsid w:val="00E74C14"/>
    <w:rsid w:val="00E74DDA"/>
    <w:rsid w:val="00E750F1"/>
    <w:rsid w:val="00E75D43"/>
    <w:rsid w:val="00E76FF4"/>
    <w:rsid w:val="00E80891"/>
    <w:rsid w:val="00E8203D"/>
    <w:rsid w:val="00E831BF"/>
    <w:rsid w:val="00E8393D"/>
    <w:rsid w:val="00E83CDE"/>
    <w:rsid w:val="00E85E07"/>
    <w:rsid w:val="00E87F11"/>
    <w:rsid w:val="00E91961"/>
    <w:rsid w:val="00E91F36"/>
    <w:rsid w:val="00E92C1D"/>
    <w:rsid w:val="00E92D4C"/>
    <w:rsid w:val="00E934CB"/>
    <w:rsid w:val="00E94709"/>
    <w:rsid w:val="00E94ED2"/>
    <w:rsid w:val="00E958D1"/>
    <w:rsid w:val="00E9655C"/>
    <w:rsid w:val="00E96A5B"/>
    <w:rsid w:val="00E96B25"/>
    <w:rsid w:val="00E96C8B"/>
    <w:rsid w:val="00EA037A"/>
    <w:rsid w:val="00EA1622"/>
    <w:rsid w:val="00EA19A6"/>
    <w:rsid w:val="00EA2688"/>
    <w:rsid w:val="00EA26AB"/>
    <w:rsid w:val="00EA3F83"/>
    <w:rsid w:val="00EA40A8"/>
    <w:rsid w:val="00EA53AE"/>
    <w:rsid w:val="00EA570B"/>
    <w:rsid w:val="00EA592E"/>
    <w:rsid w:val="00EA5F0A"/>
    <w:rsid w:val="00EA5FAD"/>
    <w:rsid w:val="00EA6156"/>
    <w:rsid w:val="00EB0FFA"/>
    <w:rsid w:val="00EB222F"/>
    <w:rsid w:val="00EB320B"/>
    <w:rsid w:val="00EB559A"/>
    <w:rsid w:val="00EB598B"/>
    <w:rsid w:val="00EC13AF"/>
    <w:rsid w:val="00EC1534"/>
    <w:rsid w:val="00EC1ED4"/>
    <w:rsid w:val="00EC39A7"/>
    <w:rsid w:val="00EC41DA"/>
    <w:rsid w:val="00EC44FA"/>
    <w:rsid w:val="00EC491C"/>
    <w:rsid w:val="00EC594E"/>
    <w:rsid w:val="00EC5A23"/>
    <w:rsid w:val="00EC5A5C"/>
    <w:rsid w:val="00EC6A96"/>
    <w:rsid w:val="00EC73DC"/>
    <w:rsid w:val="00ED00E0"/>
    <w:rsid w:val="00ED053A"/>
    <w:rsid w:val="00ED12BE"/>
    <w:rsid w:val="00ED1AD3"/>
    <w:rsid w:val="00ED1B1C"/>
    <w:rsid w:val="00ED1D2E"/>
    <w:rsid w:val="00ED2334"/>
    <w:rsid w:val="00ED252C"/>
    <w:rsid w:val="00ED4B32"/>
    <w:rsid w:val="00ED503A"/>
    <w:rsid w:val="00ED7D1C"/>
    <w:rsid w:val="00EE01E8"/>
    <w:rsid w:val="00EE058F"/>
    <w:rsid w:val="00EE0F7C"/>
    <w:rsid w:val="00EE1EDD"/>
    <w:rsid w:val="00EE211F"/>
    <w:rsid w:val="00EE252D"/>
    <w:rsid w:val="00EE2600"/>
    <w:rsid w:val="00EE2B93"/>
    <w:rsid w:val="00EE3887"/>
    <w:rsid w:val="00EE410C"/>
    <w:rsid w:val="00EE4194"/>
    <w:rsid w:val="00EE6807"/>
    <w:rsid w:val="00EE7A84"/>
    <w:rsid w:val="00EF0907"/>
    <w:rsid w:val="00EF0C11"/>
    <w:rsid w:val="00EF0DC0"/>
    <w:rsid w:val="00EF2121"/>
    <w:rsid w:val="00EF265A"/>
    <w:rsid w:val="00EF2C14"/>
    <w:rsid w:val="00EF3433"/>
    <w:rsid w:val="00EF34BE"/>
    <w:rsid w:val="00EF3A05"/>
    <w:rsid w:val="00EF4978"/>
    <w:rsid w:val="00EF5C6A"/>
    <w:rsid w:val="00F0016A"/>
    <w:rsid w:val="00F005B7"/>
    <w:rsid w:val="00F00B0C"/>
    <w:rsid w:val="00F01907"/>
    <w:rsid w:val="00F01FBC"/>
    <w:rsid w:val="00F0203F"/>
    <w:rsid w:val="00F0229B"/>
    <w:rsid w:val="00F03D1A"/>
    <w:rsid w:val="00F03FDF"/>
    <w:rsid w:val="00F04300"/>
    <w:rsid w:val="00F04A7E"/>
    <w:rsid w:val="00F065FD"/>
    <w:rsid w:val="00F070F2"/>
    <w:rsid w:val="00F1047C"/>
    <w:rsid w:val="00F11317"/>
    <w:rsid w:val="00F116C9"/>
    <w:rsid w:val="00F12A04"/>
    <w:rsid w:val="00F12B4E"/>
    <w:rsid w:val="00F130C6"/>
    <w:rsid w:val="00F1359B"/>
    <w:rsid w:val="00F13802"/>
    <w:rsid w:val="00F14395"/>
    <w:rsid w:val="00F150F2"/>
    <w:rsid w:val="00F159D6"/>
    <w:rsid w:val="00F16098"/>
    <w:rsid w:val="00F174F9"/>
    <w:rsid w:val="00F1799A"/>
    <w:rsid w:val="00F2135D"/>
    <w:rsid w:val="00F229D4"/>
    <w:rsid w:val="00F22DBE"/>
    <w:rsid w:val="00F24E9E"/>
    <w:rsid w:val="00F25E2E"/>
    <w:rsid w:val="00F273BA"/>
    <w:rsid w:val="00F310C5"/>
    <w:rsid w:val="00F3135E"/>
    <w:rsid w:val="00F31CA9"/>
    <w:rsid w:val="00F33217"/>
    <w:rsid w:val="00F33498"/>
    <w:rsid w:val="00F33898"/>
    <w:rsid w:val="00F341B9"/>
    <w:rsid w:val="00F342E9"/>
    <w:rsid w:val="00F34EDB"/>
    <w:rsid w:val="00F359B7"/>
    <w:rsid w:val="00F35A79"/>
    <w:rsid w:val="00F35C41"/>
    <w:rsid w:val="00F3642E"/>
    <w:rsid w:val="00F3689B"/>
    <w:rsid w:val="00F37B27"/>
    <w:rsid w:val="00F37F98"/>
    <w:rsid w:val="00F40C37"/>
    <w:rsid w:val="00F41AD5"/>
    <w:rsid w:val="00F41DC6"/>
    <w:rsid w:val="00F42BA8"/>
    <w:rsid w:val="00F43D5A"/>
    <w:rsid w:val="00F45751"/>
    <w:rsid w:val="00F459D1"/>
    <w:rsid w:val="00F4621C"/>
    <w:rsid w:val="00F46688"/>
    <w:rsid w:val="00F52E88"/>
    <w:rsid w:val="00F53230"/>
    <w:rsid w:val="00F53D9D"/>
    <w:rsid w:val="00F5459F"/>
    <w:rsid w:val="00F55301"/>
    <w:rsid w:val="00F554F4"/>
    <w:rsid w:val="00F555EE"/>
    <w:rsid w:val="00F557A7"/>
    <w:rsid w:val="00F56492"/>
    <w:rsid w:val="00F56CDF"/>
    <w:rsid w:val="00F5709C"/>
    <w:rsid w:val="00F571BE"/>
    <w:rsid w:val="00F5786C"/>
    <w:rsid w:val="00F57F15"/>
    <w:rsid w:val="00F6339E"/>
    <w:rsid w:val="00F646F7"/>
    <w:rsid w:val="00F671E2"/>
    <w:rsid w:val="00F673F0"/>
    <w:rsid w:val="00F71761"/>
    <w:rsid w:val="00F744F6"/>
    <w:rsid w:val="00F74839"/>
    <w:rsid w:val="00F74F3B"/>
    <w:rsid w:val="00F74F59"/>
    <w:rsid w:val="00F75136"/>
    <w:rsid w:val="00F7644E"/>
    <w:rsid w:val="00F76980"/>
    <w:rsid w:val="00F769DA"/>
    <w:rsid w:val="00F77776"/>
    <w:rsid w:val="00F80160"/>
    <w:rsid w:val="00F80C25"/>
    <w:rsid w:val="00F81F11"/>
    <w:rsid w:val="00F82104"/>
    <w:rsid w:val="00F824A1"/>
    <w:rsid w:val="00F8260C"/>
    <w:rsid w:val="00F826C1"/>
    <w:rsid w:val="00F82D70"/>
    <w:rsid w:val="00F831EE"/>
    <w:rsid w:val="00F83C3E"/>
    <w:rsid w:val="00F83EEC"/>
    <w:rsid w:val="00F85866"/>
    <w:rsid w:val="00F86168"/>
    <w:rsid w:val="00F86DE2"/>
    <w:rsid w:val="00F8746A"/>
    <w:rsid w:val="00F900D9"/>
    <w:rsid w:val="00F9334A"/>
    <w:rsid w:val="00F93F4B"/>
    <w:rsid w:val="00F94099"/>
    <w:rsid w:val="00F95A14"/>
    <w:rsid w:val="00F9654C"/>
    <w:rsid w:val="00F965AE"/>
    <w:rsid w:val="00F96F5B"/>
    <w:rsid w:val="00F9752E"/>
    <w:rsid w:val="00F977D4"/>
    <w:rsid w:val="00FA0305"/>
    <w:rsid w:val="00FA04C4"/>
    <w:rsid w:val="00FA1155"/>
    <w:rsid w:val="00FA15E9"/>
    <w:rsid w:val="00FA183F"/>
    <w:rsid w:val="00FA1912"/>
    <w:rsid w:val="00FA1B2C"/>
    <w:rsid w:val="00FA1BE1"/>
    <w:rsid w:val="00FA2B22"/>
    <w:rsid w:val="00FA3AA7"/>
    <w:rsid w:val="00FA4079"/>
    <w:rsid w:val="00FA443D"/>
    <w:rsid w:val="00FA446C"/>
    <w:rsid w:val="00FA4BAA"/>
    <w:rsid w:val="00FA538C"/>
    <w:rsid w:val="00FA593D"/>
    <w:rsid w:val="00FA6393"/>
    <w:rsid w:val="00FA72E9"/>
    <w:rsid w:val="00FA7596"/>
    <w:rsid w:val="00FB01D7"/>
    <w:rsid w:val="00FB1697"/>
    <w:rsid w:val="00FB1924"/>
    <w:rsid w:val="00FB1A61"/>
    <w:rsid w:val="00FB2FB2"/>
    <w:rsid w:val="00FB345A"/>
    <w:rsid w:val="00FB3C58"/>
    <w:rsid w:val="00FB3ECC"/>
    <w:rsid w:val="00FB4B82"/>
    <w:rsid w:val="00FB4DDF"/>
    <w:rsid w:val="00FB56FA"/>
    <w:rsid w:val="00FB60E2"/>
    <w:rsid w:val="00FC0843"/>
    <w:rsid w:val="00FC0B2D"/>
    <w:rsid w:val="00FC0D2E"/>
    <w:rsid w:val="00FC1B82"/>
    <w:rsid w:val="00FC1EC9"/>
    <w:rsid w:val="00FC27D3"/>
    <w:rsid w:val="00FC36CF"/>
    <w:rsid w:val="00FC5B85"/>
    <w:rsid w:val="00FC662D"/>
    <w:rsid w:val="00FC70DF"/>
    <w:rsid w:val="00FC7273"/>
    <w:rsid w:val="00FC78A9"/>
    <w:rsid w:val="00FC7DE8"/>
    <w:rsid w:val="00FD0FA9"/>
    <w:rsid w:val="00FD1BB1"/>
    <w:rsid w:val="00FD26C7"/>
    <w:rsid w:val="00FD290E"/>
    <w:rsid w:val="00FD3894"/>
    <w:rsid w:val="00FD396D"/>
    <w:rsid w:val="00FD3E7D"/>
    <w:rsid w:val="00FD4777"/>
    <w:rsid w:val="00FE0C12"/>
    <w:rsid w:val="00FE1453"/>
    <w:rsid w:val="00FE1590"/>
    <w:rsid w:val="00FE1C45"/>
    <w:rsid w:val="00FE2C66"/>
    <w:rsid w:val="00FE3345"/>
    <w:rsid w:val="00FE3817"/>
    <w:rsid w:val="00FE62F3"/>
    <w:rsid w:val="00FF0290"/>
    <w:rsid w:val="00FF066F"/>
    <w:rsid w:val="00FF0A46"/>
    <w:rsid w:val="00FF0C0B"/>
    <w:rsid w:val="00FF141B"/>
    <w:rsid w:val="00FF1763"/>
    <w:rsid w:val="00FF1928"/>
    <w:rsid w:val="00FF1F44"/>
    <w:rsid w:val="00FF2B5D"/>
    <w:rsid w:val="00FF2E90"/>
    <w:rsid w:val="00FF3231"/>
    <w:rsid w:val="00FF4AFB"/>
    <w:rsid w:val="00FF4EB6"/>
    <w:rsid w:val="00FF4ECB"/>
    <w:rsid w:val="00FF51D0"/>
    <w:rsid w:val="00FF53AA"/>
    <w:rsid w:val="00FF632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C541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Emphasis" w:uiPriority="20" w:qFormat="1"/>
  </w:latentStyles>
  <w:style w:type="paragraph" w:default="1" w:styleId="Normal">
    <w:name w:val="Normal"/>
    <w:qFormat/>
    <w:rsid w:val="007F7D1D"/>
    <w:rPr>
      <w:rFonts w:ascii="Times New Roman" w:hAnsi="Times New Roman"/>
      <w:sz w:val="22"/>
    </w:rPr>
  </w:style>
  <w:style w:type="paragraph" w:styleId="Heading2">
    <w:name w:val="heading 2"/>
    <w:basedOn w:val="Normal"/>
    <w:link w:val="Heading2Char"/>
    <w:uiPriority w:val="9"/>
    <w:rsid w:val="00A57423"/>
    <w:pPr>
      <w:spacing w:beforeLines="1" w:afterLines="1"/>
      <w:outlineLvl w:val="1"/>
    </w:pPr>
    <w:rPr>
      <w:rFonts w:ascii="Times" w:hAnsi="Times"/>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AD5B2F"/>
    <w:rPr>
      <w:rFonts w:ascii="Lucida Grande" w:hAnsi="Lucida Grande"/>
      <w:sz w:val="18"/>
      <w:szCs w:val="18"/>
    </w:rPr>
  </w:style>
  <w:style w:type="character" w:customStyle="1" w:styleId="BalloonTextChar">
    <w:name w:val="Balloon Text Char"/>
    <w:basedOn w:val="DefaultParagraphFont"/>
    <w:uiPriority w:val="99"/>
    <w:semiHidden/>
    <w:rsid w:val="005F3FA2"/>
    <w:rPr>
      <w:rFonts w:ascii="Lucida Grande" w:hAnsi="Lucida Grande"/>
      <w:sz w:val="18"/>
      <w:szCs w:val="18"/>
    </w:rPr>
  </w:style>
  <w:style w:type="character" w:customStyle="1" w:styleId="BalloonTextChar0">
    <w:name w:val="Balloon Text Char"/>
    <w:basedOn w:val="DefaultParagraphFont"/>
    <w:uiPriority w:val="99"/>
    <w:semiHidden/>
    <w:rsid w:val="005F3FA2"/>
    <w:rPr>
      <w:rFonts w:ascii="Lucida Grande" w:hAnsi="Lucida Grande"/>
      <w:sz w:val="18"/>
      <w:szCs w:val="18"/>
    </w:rPr>
  </w:style>
  <w:style w:type="character" w:customStyle="1" w:styleId="BalloonTextChar2">
    <w:name w:val="Balloon Text Char"/>
    <w:basedOn w:val="DefaultParagraphFont"/>
    <w:uiPriority w:val="99"/>
    <w:semiHidden/>
    <w:rsid w:val="005F3FA2"/>
    <w:rPr>
      <w:rFonts w:ascii="Lucida Grande" w:hAnsi="Lucida Grande"/>
      <w:sz w:val="18"/>
      <w:szCs w:val="18"/>
    </w:rPr>
  </w:style>
  <w:style w:type="character" w:customStyle="1" w:styleId="BalloonTextChar3">
    <w:name w:val="Balloon Text Char"/>
    <w:basedOn w:val="DefaultParagraphFont"/>
    <w:uiPriority w:val="99"/>
    <w:semiHidden/>
    <w:rsid w:val="005F3FA2"/>
    <w:rPr>
      <w:rFonts w:ascii="Lucida Grande" w:hAnsi="Lucida Grande"/>
      <w:sz w:val="18"/>
      <w:szCs w:val="18"/>
    </w:rPr>
  </w:style>
  <w:style w:type="character" w:customStyle="1" w:styleId="BalloonTextChar4">
    <w:name w:val="Balloon Text Char"/>
    <w:basedOn w:val="DefaultParagraphFont"/>
    <w:uiPriority w:val="99"/>
    <w:semiHidden/>
    <w:rsid w:val="005F3FA2"/>
    <w:rPr>
      <w:rFonts w:ascii="Lucida Grande" w:hAnsi="Lucida Grande"/>
      <w:sz w:val="18"/>
      <w:szCs w:val="18"/>
    </w:rPr>
  </w:style>
  <w:style w:type="character" w:customStyle="1" w:styleId="BalloonTextChar5">
    <w:name w:val="Balloon Text Char"/>
    <w:basedOn w:val="DefaultParagraphFont"/>
    <w:uiPriority w:val="99"/>
    <w:semiHidden/>
    <w:rsid w:val="005F3FA2"/>
    <w:rPr>
      <w:rFonts w:ascii="Lucida Grande" w:hAnsi="Lucida Grande"/>
      <w:sz w:val="18"/>
      <w:szCs w:val="18"/>
    </w:rPr>
  </w:style>
  <w:style w:type="character" w:customStyle="1" w:styleId="BalloonTextChar6">
    <w:name w:val="Balloon Text Char"/>
    <w:basedOn w:val="DefaultParagraphFont"/>
    <w:uiPriority w:val="99"/>
    <w:semiHidden/>
    <w:rsid w:val="005F3FA2"/>
    <w:rPr>
      <w:rFonts w:ascii="Lucida Grande" w:hAnsi="Lucida Grande"/>
      <w:sz w:val="18"/>
      <w:szCs w:val="18"/>
    </w:rPr>
  </w:style>
  <w:style w:type="character" w:customStyle="1" w:styleId="BalloonTextChar7">
    <w:name w:val="Balloon Text Char"/>
    <w:basedOn w:val="DefaultParagraphFont"/>
    <w:uiPriority w:val="99"/>
    <w:semiHidden/>
    <w:rsid w:val="005F3FA2"/>
    <w:rPr>
      <w:rFonts w:ascii="Lucida Grande" w:hAnsi="Lucida Grande"/>
      <w:sz w:val="18"/>
      <w:szCs w:val="18"/>
    </w:rPr>
  </w:style>
  <w:style w:type="character" w:customStyle="1" w:styleId="BalloonTextChar8">
    <w:name w:val="Balloon Text Char"/>
    <w:basedOn w:val="DefaultParagraphFont"/>
    <w:uiPriority w:val="99"/>
    <w:semiHidden/>
    <w:rsid w:val="005F3FA2"/>
    <w:rPr>
      <w:rFonts w:ascii="Lucida Grande" w:hAnsi="Lucida Grande"/>
      <w:sz w:val="18"/>
      <w:szCs w:val="18"/>
    </w:rPr>
  </w:style>
  <w:style w:type="character" w:customStyle="1" w:styleId="BalloonTextChar9">
    <w:name w:val="Balloon Text Char"/>
    <w:basedOn w:val="DefaultParagraphFont"/>
    <w:uiPriority w:val="99"/>
    <w:semiHidden/>
    <w:rsid w:val="005F3FA2"/>
    <w:rPr>
      <w:rFonts w:ascii="Lucida Grande" w:hAnsi="Lucida Grande"/>
      <w:sz w:val="18"/>
      <w:szCs w:val="18"/>
    </w:rPr>
  </w:style>
  <w:style w:type="character" w:customStyle="1" w:styleId="BalloonTextChara">
    <w:name w:val="Balloon Text Char"/>
    <w:basedOn w:val="DefaultParagraphFont"/>
    <w:uiPriority w:val="99"/>
    <w:semiHidden/>
    <w:rsid w:val="005F3FA2"/>
    <w:rPr>
      <w:rFonts w:ascii="Lucida Grande" w:hAnsi="Lucida Grande"/>
      <w:sz w:val="18"/>
      <w:szCs w:val="18"/>
    </w:rPr>
  </w:style>
  <w:style w:type="character" w:customStyle="1" w:styleId="BalloonTextCharb">
    <w:name w:val="Balloon Text Char"/>
    <w:basedOn w:val="DefaultParagraphFont"/>
    <w:uiPriority w:val="99"/>
    <w:semiHidden/>
    <w:rsid w:val="005F3FA2"/>
    <w:rPr>
      <w:rFonts w:ascii="Lucida Grande" w:hAnsi="Lucida Grande"/>
      <w:sz w:val="18"/>
      <w:szCs w:val="18"/>
    </w:rPr>
  </w:style>
  <w:style w:type="character" w:customStyle="1" w:styleId="BalloonTextCharc">
    <w:name w:val="Balloon Text Char"/>
    <w:basedOn w:val="DefaultParagraphFont"/>
    <w:uiPriority w:val="99"/>
    <w:semiHidden/>
    <w:rsid w:val="005F3FA2"/>
    <w:rPr>
      <w:rFonts w:ascii="Lucida Grande" w:hAnsi="Lucida Grande"/>
      <w:sz w:val="18"/>
      <w:szCs w:val="18"/>
    </w:rPr>
  </w:style>
  <w:style w:type="character" w:customStyle="1" w:styleId="BalloonTextChard">
    <w:name w:val="Balloon Text Char"/>
    <w:basedOn w:val="DefaultParagraphFont"/>
    <w:uiPriority w:val="99"/>
    <w:semiHidden/>
    <w:rsid w:val="005F3FA2"/>
    <w:rPr>
      <w:rFonts w:ascii="Lucida Grande" w:hAnsi="Lucida Grande"/>
      <w:sz w:val="18"/>
      <w:szCs w:val="18"/>
    </w:rPr>
  </w:style>
  <w:style w:type="character" w:customStyle="1" w:styleId="BalloonTextChare">
    <w:name w:val="Balloon Text Char"/>
    <w:basedOn w:val="DefaultParagraphFont"/>
    <w:uiPriority w:val="99"/>
    <w:semiHidden/>
    <w:rsid w:val="005F3FA2"/>
    <w:rPr>
      <w:rFonts w:ascii="Lucida Grande" w:hAnsi="Lucida Grande"/>
      <w:sz w:val="18"/>
      <w:szCs w:val="18"/>
    </w:rPr>
  </w:style>
  <w:style w:type="character" w:customStyle="1" w:styleId="BalloonTextCharf">
    <w:name w:val="Balloon Text Char"/>
    <w:basedOn w:val="DefaultParagraphFont"/>
    <w:uiPriority w:val="99"/>
    <w:semiHidden/>
    <w:rsid w:val="005F3FA2"/>
    <w:rPr>
      <w:rFonts w:ascii="Lucida Grande" w:hAnsi="Lucida Grande"/>
      <w:sz w:val="18"/>
      <w:szCs w:val="18"/>
    </w:rPr>
  </w:style>
  <w:style w:type="character" w:customStyle="1" w:styleId="BalloonTextCharf0">
    <w:name w:val="Balloon Text Char"/>
    <w:basedOn w:val="DefaultParagraphFont"/>
    <w:uiPriority w:val="99"/>
    <w:semiHidden/>
    <w:rsid w:val="005F3FA2"/>
    <w:rPr>
      <w:rFonts w:ascii="Lucida Grande" w:hAnsi="Lucida Grande"/>
      <w:sz w:val="18"/>
      <w:szCs w:val="18"/>
    </w:rPr>
  </w:style>
  <w:style w:type="character" w:customStyle="1" w:styleId="BalloonTextCharf1">
    <w:name w:val="Balloon Text Char"/>
    <w:basedOn w:val="DefaultParagraphFont"/>
    <w:uiPriority w:val="99"/>
    <w:semiHidden/>
    <w:rsid w:val="005F3FA2"/>
    <w:rPr>
      <w:rFonts w:ascii="Lucida Grande" w:hAnsi="Lucida Grande"/>
      <w:sz w:val="18"/>
      <w:szCs w:val="18"/>
    </w:rPr>
  </w:style>
  <w:style w:type="character" w:customStyle="1" w:styleId="BalloonTextCharf2">
    <w:name w:val="Balloon Text Char"/>
    <w:basedOn w:val="DefaultParagraphFont"/>
    <w:uiPriority w:val="99"/>
    <w:semiHidden/>
    <w:rsid w:val="005F3FA2"/>
    <w:rPr>
      <w:rFonts w:ascii="Lucida Grande" w:hAnsi="Lucida Grande"/>
      <w:sz w:val="18"/>
      <w:szCs w:val="18"/>
    </w:rPr>
  </w:style>
  <w:style w:type="character" w:customStyle="1" w:styleId="BalloonTextCharf3">
    <w:name w:val="Balloon Text Char"/>
    <w:basedOn w:val="DefaultParagraphFont"/>
    <w:uiPriority w:val="99"/>
    <w:semiHidden/>
    <w:rsid w:val="005F3FA2"/>
    <w:rPr>
      <w:rFonts w:ascii="Lucida Grande" w:hAnsi="Lucida Grande"/>
      <w:sz w:val="18"/>
      <w:szCs w:val="18"/>
    </w:rPr>
  </w:style>
  <w:style w:type="character" w:customStyle="1" w:styleId="BalloonTextCharf4">
    <w:name w:val="Balloon Text Char"/>
    <w:basedOn w:val="DefaultParagraphFont"/>
    <w:uiPriority w:val="99"/>
    <w:semiHidden/>
    <w:rsid w:val="005F3FA2"/>
    <w:rPr>
      <w:rFonts w:ascii="Lucida Grande" w:hAnsi="Lucida Grande"/>
      <w:sz w:val="18"/>
      <w:szCs w:val="18"/>
    </w:rPr>
  </w:style>
  <w:style w:type="character" w:customStyle="1" w:styleId="BalloonTextCharf5">
    <w:name w:val="Balloon Text Char"/>
    <w:basedOn w:val="DefaultParagraphFont"/>
    <w:uiPriority w:val="99"/>
    <w:semiHidden/>
    <w:rsid w:val="00076EEB"/>
    <w:rPr>
      <w:rFonts w:ascii="Lucida Grande" w:hAnsi="Lucida Grande"/>
      <w:sz w:val="18"/>
      <w:szCs w:val="18"/>
    </w:rPr>
  </w:style>
  <w:style w:type="character" w:customStyle="1" w:styleId="BalloonTextCharf6">
    <w:name w:val="Balloon Text Char"/>
    <w:basedOn w:val="DefaultParagraphFont"/>
    <w:uiPriority w:val="99"/>
    <w:semiHidden/>
    <w:rsid w:val="00076EEB"/>
    <w:rPr>
      <w:rFonts w:ascii="Lucida Grande" w:hAnsi="Lucida Grande"/>
      <w:sz w:val="18"/>
      <w:szCs w:val="18"/>
    </w:rPr>
  </w:style>
  <w:style w:type="character" w:customStyle="1" w:styleId="BalloonTextCharf7">
    <w:name w:val="Balloon Text Char"/>
    <w:basedOn w:val="DefaultParagraphFont"/>
    <w:uiPriority w:val="99"/>
    <w:semiHidden/>
    <w:rsid w:val="00076EEB"/>
    <w:rPr>
      <w:rFonts w:ascii="Lucida Grande" w:hAnsi="Lucida Grande"/>
      <w:sz w:val="18"/>
      <w:szCs w:val="18"/>
    </w:rPr>
  </w:style>
  <w:style w:type="character" w:customStyle="1" w:styleId="BalloonTextCharf8">
    <w:name w:val="Balloon Text Char"/>
    <w:basedOn w:val="DefaultParagraphFont"/>
    <w:uiPriority w:val="99"/>
    <w:semiHidden/>
    <w:rsid w:val="00076EEB"/>
    <w:rPr>
      <w:rFonts w:ascii="Lucida Grande" w:hAnsi="Lucida Grande"/>
      <w:sz w:val="18"/>
      <w:szCs w:val="18"/>
    </w:rPr>
  </w:style>
  <w:style w:type="character" w:customStyle="1" w:styleId="BalloonTextCharf9">
    <w:name w:val="Balloon Text Char"/>
    <w:basedOn w:val="DefaultParagraphFont"/>
    <w:uiPriority w:val="99"/>
    <w:semiHidden/>
    <w:rsid w:val="00076EEB"/>
    <w:rPr>
      <w:rFonts w:ascii="Lucida Grande" w:hAnsi="Lucida Grande"/>
      <w:sz w:val="18"/>
      <w:szCs w:val="18"/>
    </w:rPr>
  </w:style>
  <w:style w:type="character" w:customStyle="1" w:styleId="BalloonTextCharfa">
    <w:name w:val="Balloon Text Char"/>
    <w:basedOn w:val="DefaultParagraphFont"/>
    <w:uiPriority w:val="99"/>
    <w:semiHidden/>
    <w:rsid w:val="00076EEB"/>
    <w:rPr>
      <w:rFonts w:ascii="Lucida Grande" w:hAnsi="Lucida Grande"/>
      <w:sz w:val="18"/>
      <w:szCs w:val="18"/>
    </w:rPr>
  </w:style>
  <w:style w:type="character" w:customStyle="1" w:styleId="BalloonTextCharfb">
    <w:name w:val="Balloon Text Char"/>
    <w:basedOn w:val="DefaultParagraphFont"/>
    <w:uiPriority w:val="99"/>
    <w:semiHidden/>
    <w:rsid w:val="00076EEB"/>
    <w:rPr>
      <w:rFonts w:ascii="Lucida Grande" w:hAnsi="Lucida Grande"/>
      <w:sz w:val="18"/>
      <w:szCs w:val="18"/>
    </w:rPr>
  </w:style>
  <w:style w:type="character" w:customStyle="1" w:styleId="BalloonTextCharfc">
    <w:name w:val="Balloon Text Char"/>
    <w:basedOn w:val="DefaultParagraphFont"/>
    <w:uiPriority w:val="99"/>
    <w:semiHidden/>
    <w:rsid w:val="00076EEB"/>
    <w:rPr>
      <w:rFonts w:ascii="Lucida Grande" w:hAnsi="Lucida Grande"/>
      <w:sz w:val="18"/>
      <w:szCs w:val="18"/>
    </w:rPr>
  </w:style>
  <w:style w:type="character" w:customStyle="1" w:styleId="BalloonTextCharfd">
    <w:name w:val="Balloon Text Char"/>
    <w:basedOn w:val="DefaultParagraphFont"/>
    <w:uiPriority w:val="99"/>
    <w:semiHidden/>
    <w:rsid w:val="00076EEB"/>
    <w:rPr>
      <w:rFonts w:ascii="Lucida Grande" w:hAnsi="Lucida Grande"/>
      <w:sz w:val="18"/>
      <w:szCs w:val="18"/>
    </w:rPr>
  </w:style>
  <w:style w:type="character" w:customStyle="1" w:styleId="BalloonTextCharfe">
    <w:name w:val="Balloon Text Char"/>
    <w:basedOn w:val="DefaultParagraphFont"/>
    <w:uiPriority w:val="99"/>
    <w:semiHidden/>
    <w:rsid w:val="00076EEB"/>
    <w:rPr>
      <w:rFonts w:ascii="Lucida Grande" w:hAnsi="Lucida Grande"/>
      <w:sz w:val="18"/>
      <w:szCs w:val="18"/>
    </w:rPr>
  </w:style>
  <w:style w:type="character" w:customStyle="1" w:styleId="BalloonTextCharff">
    <w:name w:val="Balloon Text Char"/>
    <w:basedOn w:val="DefaultParagraphFont"/>
    <w:uiPriority w:val="99"/>
    <w:semiHidden/>
    <w:rsid w:val="00076EEB"/>
    <w:rPr>
      <w:rFonts w:ascii="Lucida Grande" w:hAnsi="Lucida Grande"/>
      <w:sz w:val="18"/>
      <w:szCs w:val="18"/>
    </w:rPr>
  </w:style>
  <w:style w:type="character" w:customStyle="1" w:styleId="BalloonTextCharff0">
    <w:name w:val="Balloon Text Char"/>
    <w:basedOn w:val="DefaultParagraphFont"/>
    <w:uiPriority w:val="99"/>
    <w:semiHidden/>
    <w:rsid w:val="00076EEB"/>
    <w:rPr>
      <w:rFonts w:ascii="Lucida Grande" w:hAnsi="Lucida Grande"/>
      <w:sz w:val="18"/>
      <w:szCs w:val="18"/>
    </w:rPr>
  </w:style>
  <w:style w:type="character" w:customStyle="1" w:styleId="BalloonTextCharff1">
    <w:name w:val="Balloon Text Char"/>
    <w:basedOn w:val="DefaultParagraphFont"/>
    <w:uiPriority w:val="99"/>
    <w:semiHidden/>
    <w:rsid w:val="00076EEB"/>
    <w:rPr>
      <w:rFonts w:ascii="Lucida Grande" w:hAnsi="Lucida Grande"/>
      <w:sz w:val="18"/>
      <w:szCs w:val="18"/>
    </w:rPr>
  </w:style>
  <w:style w:type="character" w:customStyle="1" w:styleId="BalloonTextCharff2">
    <w:name w:val="Balloon Text Char"/>
    <w:basedOn w:val="DefaultParagraphFont"/>
    <w:uiPriority w:val="99"/>
    <w:semiHidden/>
    <w:rsid w:val="00AD5B2F"/>
    <w:rPr>
      <w:rFonts w:ascii="Lucida Grande" w:hAnsi="Lucida Grande"/>
      <w:sz w:val="18"/>
      <w:szCs w:val="18"/>
    </w:rPr>
  </w:style>
  <w:style w:type="character" w:customStyle="1" w:styleId="BalloonTextCharff3">
    <w:name w:val="Balloon Text Char"/>
    <w:basedOn w:val="DefaultParagraphFont"/>
    <w:uiPriority w:val="99"/>
    <w:semiHidden/>
    <w:rsid w:val="00AD5B2F"/>
    <w:rPr>
      <w:rFonts w:ascii="Lucida Grande" w:hAnsi="Lucida Grande"/>
      <w:sz w:val="18"/>
      <w:szCs w:val="18"/>
    </w:rPr>
  </w:style>
  <w:style w:type="character" w:customStyle="1" w:styleId="BalloonTextCharff4">
    <w:name w:val="Balloon Text Char"/>
    <w:basedOn w:val="DefaultParagraphFont"/>
    <w:uiPriority w:val="99"/>
    <w:semiHidden/>
    <w:rsid w:val="00AD5B2F"/>
    <w:rPr>
      <w:rFonts w:ascii="Lucida Grande" w:hAnsi="Lucida Grande"/>
      <w:sz w:val="18"/>
      <w:szCs w:val="18"/>
    </w:rPr>
  </w:style>
  <w:style w:type="character" w:customStyle="1" w:styleId="BalloonTextCharff5">
    <w:name w:val="Balloon Text Char"/>
    <w:basedOn w:val="DefaultParagraphFont"/>
    <w:uiPriority w:val="99"/>
    <w:semiHidden/>
    <w:rsid w:val="00AD5B2F"/>
    <w:rPr>
      <w:rFonts w:ascii="Lucida Grande" w:hAnsi="Lucida Grande"/>
      <w:sz w:val="18"/>
      <w:szCs w:val="18"/>
    </w:rPr>
  </w:style>
  <w:style w:type="character" w:customStyle="1" w:styleId="BalloonTextCharff6">
    <w:name w:val="Balloon Text Char"/>
    <w:basedOn w:val="DefaultParagraphFont"/>
    <w:uiPriority w:val="99"/>
    <w:semiHidden/>
    <w:rsid w:val="00AD5B2F"/>
    <w:rPr>
      <w:rFonts w:ascii="Lucida Grande" w:hAnsi="Lucida Grande"/>
      <w:sz w:val="18"/>
      <w:szCs w:val="18"/>
    </w:rPr>
  </w:style>
  <w:style w:type="character" w:customStyle="1" w:styleId="BalloonTextCharff7">
    <w:name w:val="Balloon Text Char"/>
    <w:basedOn w:val="DefaultParagraphFont"/>
    <w:uiPriority w:val="99"/>
    <w:semiHidden/>
    <w:rsid w:val="00AD5B2F"/>
    <w:rPr>
      <w:rFonts w:ascii="Lucida Grande" w:hAnsi="Lucida Grande"/>
      <w:sz w:val="18"/>
      <w:szCs w:val="18"/>
    </w:rPr>
  </w:style>
  <w:style w:type="character" w:customStyle="1" w:styleId="BalloonTextChar1">
    <w:name w:val="Balloon Text Char1"/>
    <w:basedOn w:val="DefaultParagraphFont"/>
    <w:link w:val="BalloonText"/>
    <w:uiPriority w:val="99"/>
    <w:semiHidden/>
    <w:rsid w:val="00AD5B2F"/>
    <w:rPr>
      <w:rFonts w:ascii="Lucida Grande" w:hAnsi="Lucida Grande"/>
      <w:sz w:val="18"/>
      <w:szCs w:val="18"/>
    </w:rPr>
  </w:style>
  <w:style w:type="paragraph" w:styleId="FootnoteText">
    <w:name w:val="footnote text"/>
    <w:basedOn w:val="Normal"/>
    <w:link w:val="FootnoteTextChar"/>
    <w:rsid w:val="0062121F"/>
    <w:rPr>
      <w:sz w:val="24"/>
    </w:rPr>
  </w:style>
  <w:style w:type="character" w:customStyle="1" w:styleId="FootnoteTextChar">
    <w:name w:val="Footnote Text Char"/>
    <w:basedOn w:val="DefaultParagraphFont"/>
    <w:link w:val="FootnoteText"/>
    <w:rsid w:val="0062121F"/>
    <w:rPr>
      <w:rFonts w:ascii="Times New Roman" w:hAnsi="Times New Roman"/>
    </w:rPr>
  </w:style>
  <w:style w:type="character" w:styleId="FootnoteReference">
    <w:name w:val="footnote reference"/>
    <w:basedOn w:val="DefaultParagraphFont"/>
    <w:rsid w:val="0062121F"/>
    <w:rPr>
      <w:vertAlign w:val="superscript"/>
    </w:rPr>
  </w:style>
  <w:style w:type="character" w:customStyle="1" w:styleId="Heading2Char">
    <w:name w:val="Heading 2 Char"/>
    <w:basedOn w:val="DefaultParagraphFont"/>
    <w:link w:val="Heading2"/>
    <w:uiPriority w:val="9"/>
    <w:rsid w:val="00A57423"/>
    <w:rPr>
      <w:rFonts w:ascii="Times" w:hAnsi="Times"/>
      <w:b/>
      <w:sz w:val="36"/>
      <w:szCs w:val="20"/>
    </w:rPr>
  </w:style>
  <w:style w:type="character" w:styleId="Hyperlink">
    <w:name w:val="Hyperlink"/>
    <w:basedOn w:val="DefaultParagraphFont"/>
    <w:uiPriority w:val="99"/>
    <w:rsid w:val="001C3F5F"/>
    <w:rPr>
      <w:color w:val="0000FF"/>
      <w:u w:val="single"/>
    </w:rPr>
  </w:style>
  <w:style w:type="paragraph" w:styleId="Header">
    <w:name w:val="header"/>
    <w:basedOn w:val="Normal"/>
    <w:link w:val="HeaderChar"/>
    <w:rsid w:val="00386B4F"/>
    <w:pPr>
      <w:tabs>
        <w:tab w:val="center" w:pos="4320"/>
        <w:tab w:val="right" w:pos="8640"/>
      </w:tabs>
    </w:pPr>
  </w:style>
  <w:style w:type="character" w:customStyle="1" w:styleId="HeaderChar">
    <w:name w:val="Header Char"/>
    <w:basedOn w:val="DefaultParagraphFont"/>
    <w:link w:val="Header"/>
    <w:rsid w:val="00386B4F"/>
    <w:rPr>
      <w:rFonts w:ascii="Times New Roman" w:hAnsi="Times New Roman"/>
      <w:sz w:val="22"/>
    </w:rPr>
  </w:style>
  <w:style w:type="paragraph" w:styleId="Footer">
    <w:name w:val="footer"/>
    <w:basedOn w:val="Normal"/>
    <w:link w:val="FooterChar"/>
    <w:rsid w:val="00386B4F"/>
    <w:pPr>
      <w:tabs>
        <w:tab w:val="center" w:pos="4320"/>
        <w:tab w:val="right" w:pos="8640"/>
      </w:tabs>
    </w:pPr>
  </w:style>
  <w:style w:type="character" w:customStyle="1" w:styleId="FooterChar">
    <w:name w:val="Footer Char"/>
    <w:basedOn w:val="DefaultParagraphFont"/>
    <w:link w:val="Footer"/>
    <w:rsid w:val="00386B4F"/>
    <w:rPr>
      <w:rFonts w:ascii="Times New Roman" w:hAnsi="Times New Roman"/>
      <w:sz w:val="22"/>
    </w:rPr>
  </w:style>
  <w:style w:type="character" w:styleId="PageNumber">
    <w:name w:val="page number"/>
    <w:basedOn w:val="DefaultParagraphFont"/>
    <w:rsid w:val="00850FA4"/>
  </w:style>
  <w:style w:type="character" w:customStyle="1" w:styleId="searchterm">
    <w:name w:val="searchterm"/>
    <w:basedOn w:val="DefaultParagraphFont"/>
    <w:rsid w:val="008F0EE4"/>
  </w:style>
  <w:style w:type="character" w:styleId="Emphasis">
    <w:name w:val="Emphasis"/>
    <w:basedOn w:val="DefaultParagraphFont"/>
    <w:uiPriority w:val="20"/>
    <w:qFormat/>
    <w:rsid w:val="006A4977"/>
    <w:rPr>
      <w:i/>
      <w:iCs/>
    </w:rPr>
  </w:style>
  <w:style w:type="character" w:customStyle="1" w:styleId="cosearchterm">
    <w:name w:val="co_searchterm"/>
    <w:basedOn w:val="DefaultParagraphFont"/>
    <w:rsid w:val="00383D5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Emphasis" w:uiPriority="20" w:qFormat="1"/>
  </w:latentStyles>
  <w:style w:type="paragraph" w:default="1" w:styleId="Normal">
    <w:name w:val="Normal"/>
    <w:qFormat/>
    <w:rsid w:val="007F7D1D"/>
    <w:rPr>
      <w:rFonts w:ascii="Times New Roman" w:hAnsi="Times New Roman"/>
      <w:sz w:val="22"/>
    </w:rPr>
  </w:style>
  <w:style w:type="paragraph" w:styleId="Heading2">
    <w:name w:val="heading 2"/>
    <w:basedOn w:val="Normal"/>
    <w:link w:val="Heading2Char"/>
    <w:uiPriority w:val="9"/>
    <w:rsid w:val="00A57423"/>
    <w:pPr>
      <w:spacing w:beforeLines="1" w:afterLines="1"/>
      <w:outlineLvl w:val="1"/>
    </w:pPr>
    <w:rPr>
      <w:rFonts w:ascii="Times" w:hAnsi="Times"/>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AD5B2F"/>
    <w:rPr>
      <w:rFonts w:ascii="Lucida Grande" w:hAnsi="Lucida Grande"/>
      <w:sz w:val="18"/>
      <w:szCs w:val="18"/>
    </w:rPr>
  </w:style>
  <w:style w:type="character" w:customStyle="1" w:styleId="BalloonTextChar">
    <w:name w:val="Balloon Text Char"/>
    <w:basedOn w:val="DefaultParagraphFont"/>
    <w:uiPriority w:val="99"/>
    <w:semiHidden/>
    <w:rsid w:val="005F3FA2"/>
    <w:rPr>
      <w:rFonts w:ascii="Lucida Grande" w:hAnsi="Lucida Grande"/>
      <w:sz w:val="18"/>
      <w:szCs w:val="18"/>
    </w:rPr>
  </w:style>
  <w:style w:type="character" w:customStyle="1" w:styleId="BalloonTextChar0">
    <w:name w:val="Balloon Text Char"/>
    <w:basedOn w:val="DefaultParagraphFont"/>
    <w:uiPriority w:val="99"/>
    <w:semiHidden/>
    <w:rsid w:val="005F3FA2"/>
    <w:rPr>
      <w:rFonts w:ascii="Lucida Grande" w:hAnsi="Lucida Grande"/>
      <w:sz w:val="18"/>
      <w:szCs w:val="18"/>
    </w:rPr>
  </w:style>
  <w:style w:type="character" w:customStyle="1" w:styleId="BalloonTextChar2">
    <w:name w:val="Balloon Text Char"/>
    <w:basedOn w:val="DefaultParagraphFont"/>
    <w:uiPriority w:val="99"/>
    <w:semiHidden/>
    <w:rsid w:val="005F3FA2"/>
    <w:rPr>
      <w:rFonts w:ascii="Lucida Grande" w:hAnsi="Lucida Grande"/>
      <w:sz w:val="18"/>
      <w:szCs w:val="18"/>
    </w:rPr>
  </w:style>
  <w:style w:type="character" w:customStyle="1" w:styleId="BalloonTextChar3">
    <w:name w:val="Balloon Text Char"/>
    <w:basedOn w:val="DefaultParagraphFont"/>
    <w:uiPriority w:val="99"/>
    <w:semiHidden/>
    <w:rsid w:val="005F3FA2"/>
    <w:rPr>
      <w:rFonts w:ascii="Lucida Grande" w:hAnsi="Lucida Grande"/>
      <w:sz w:val="18"/>
      <w:szCs w:val="18"/>
    </w:rPr>
  </w:style>
  <w:style w:type="character" w:customStyle="1" w:styleId="BalloonTextChar4">
    <w:name w:val="Balloon Text Char"/>
    <w:basedOn w:val="DefaultParagraphFont"/>
    <w:uiPriority w:val="99"/>
    <w:semiHidden/>
    <w:rsid w:val="005F3FA2"/>
    <w:rPr>
      <w:rFonts w:ascii="Lucida Grande" w:hAnsi="Lucida Grande"/>
      <w:sz w:val="18"/>
      <w:szCs w:val="18"/>
    </w:rPr>
  </w:style>
  <w:style w:type="character" w:customStyle="1" w:styleId="BalloonTextChar5">
    <w:name w:val="Balloon Text Char"/>
    <w:basedOn w:val="DefaultParagraphFont"/>
    <w:uiPriority w:val="99"/>
    <w:semiHidden/>
    <w:rsid w:val="005F3FA2"/>
    <w:rPr>
      <w:rFonts w:ascii="Lucida Grande" w:hAnsi="Lucida Grande"/>
      <w:sz w:val="18"/>
      <w:szCs w:val="18"/>
    </w:rPr>
  </w:style>
  <w:style w:type="character" w:customStyle="1" w:styleId="BalloonTextChar6">
    <w:name w:val="Balloon Text Char"/>
    <w:basedOn w:val="DefaultParagraphFont"/>
    <w:uiPriority w:val="99"/>
    <w:semiHidden/>
    <w:rsid w:val="005F3FA2"/>
    <w:rPr>
      <w:rFonts w:ascii="Lucida Grande" w:hAnsi="Lucida Grande"/>
      <w:sz w:val="18"/>
      <w:szCs w:val="18"/>
    </w:rPr>
  </w:style>
  <w:style w:type="character" w:customStyle="1" w:styleId="BalloonTextChar7">
    <w:name w:val="Balloon Text Char"/>
    <w:basedOn w:val="DefaultParagraphFont"/>
    <w:uiPriority w:val="99"/>
    <w:semiHidden/>
    <w:rsid w:val="005F3FA2"/>
    <w:rPr>
      <w:rFonts w:ascii="Lucida Grande" w:hAnsi="Lucida Grande"/>
      <w:sz w:val="18"/>
      <w:szCs w:val="18"/>
    </w:rPr>
  </w:style>
  <w:style w:type="character" w:customStyle="1" w:styleId="BalloonTextChar8">
    <w:name w:val="Balloon Text Char"/>
    <w:basedOn w:val="DefaultParagraphFont"/>
    <w:uiPriority w:val="99"/>
    <w:semiHidden/>
    <w:rsid w:val="005F3FA2"/>
    <w:rPr>
      <w:rFonts w:ascii="Lucida Grande" w:hAnsi="Lucida Grande"/>
      <w:sz w:val="18"/>
      <w:szCs w:val="18"/>
    </w:rPr>
  </w:style>
  <w:style w:type="character" w:customStyle="1" w:styleId="BalloonTextChar9">
    <w:name w:val="Balloon Text Char"/>
    <w:basedOn w:val="DefaultParagraphFont"/>
    <w:uiPriority w:val="99"/>
    <w:semiHidden/>
    <w:rsid w:val="005F3FA2"/>
    <w:rPr>
      <w:rFonts w:ascii="Lucida Grande" w:hAnsi="Lucida Grande"/>
      <w:sz w:val="18"/>
      <w:szCs w:val="18"/>
    </w:rPr>
  </w:style>
  <w:style w:type="character" w:customStyle="1" w:styleId="BalloonTextChara">
    <w:name w:val="Balloon Text Char"/>
    <w:basedOn w:val="DefaultParagraphFont"/>
    <w:uiPriority w:val="99"/>
    <w:semiHidden/>
    <w:rsid w:val="005F3FA2"/>
    <w:rPr>
      <w:rFonts w:ascii="Lucida Grande" w:hAnsi="Lucida Grande"/>
      <w:sz w:val="18"/>
      <w:szCs w:val="18"/>
    </w:rPr>
  </w:style>
  <w:style w:type="character" w:customStyle="1" w:styleId="BalloonTextCharb">
    <w:name w:val="Balloon Text Char"/>
    <w:basedOn w:val="DefaultParagraphFont"/>
    <w:uiPriority w:val="99"/>
    <w:semiHidden/>
    <w:rsid w:val="005F3FA2"/>
    <w:rPr>
      <w:rFonts w:ascii="Lucida Grande" w:hAnsi="Lucida Grande"/>
      <w:sz w:val="18"/>
      <w:szCs w:val="18"/>
    </w:rPr>
  </w:style>
  <w:style w:type="character" w:customStyle="1" w:styleId="BalloonTextCharc">
    <w:name w:val="Balloon Text Char"/>
    <w:basedOn w:val="DefaultParagraphFont"/>
    <w:uiPriority w:val="99"/>
    <w:semiHidden/>
    <w:rsid w:val="005F3FA2"/>
    <w:rPr>
      <w:rFonts w:ascii="Lucida Grande" w:hAnsi="Lucida Grande"/>
      <w:sz w:val="18"/>
      <w:szCs w:val="18"/>
    </w:rPr>
  </w:style>
  <w:style w:type="character" w:customStyle="1" w:styleId="BalloonTextChard">
    <w:name w:val="Balloon Text Char"/>
    <w:basedOn w:val="DefaultParagraphFont"/>
    <w:uiPriority w:val="99"/>
    <w:semiHidden/>
    <w:rsid w:val="005F3FA2"/>
    <w:rPr>
      <w:rFonts w:ascii="Lucida Grande" w:hAnsi="Lucida Grande"/>
      <w:sz w:val="18"/>
      <w:szCs w:val="18"/>
    </w:rPr>
  </w:style>
  <w:style w:type="character" w:customStyle="1" w:styleId="BalloonTextChare">
    <w:name w:val="Balloon Text Char"/>
    <w:basedOn w:val="DefaultParagraphFont"/>
    <w:uiPriority w:val="99"/>
    <w:semiHidden/>
    <w:rsid w:val="005F3FA2"/>
    <w:rPr>
      <w:rFonts w:ascii="Lucida Grande" w:hAnsi="Lucida Grande"/>
      <w:sz w:val="18"/>
      <w:szCs w:val="18"/>
    </w:rPr>
  </w:style>
  <w:style w:type="character" w:customStyle="1" w:styleId="BalloonTextCharf">
    <w:name w:val="Balloon Text Char"/>
    <w:basedOn w:val="DefaultParagraphFont"/>
    <w:uiPriority w:val="99"/>
    <w:semiHidden/>
    <w:rsid w:val="005F3FA2"/>
    <w:rPr>
      <w:rFonts w:ascii="Lucida Grande" w:hAnsi="Lucida Grande"/>
      <w:sz w:val="18"/>
      <w:szCs w:val="18"/>
    </w:rPr>
  </w:style>
  <w:style w:type="character" w:customStyle="1" w:styleId="BalloonTextCharf0">
    <w:name w:val="Balloon Text Char"/>
    <w:basedOn w:val="DefaultParagraphFont"/>
    <w:uiPriority w:val="99"/>
    <w:semiHidden/>
    <w:rsid w:val="005F3FA2"/>
    <w:rPr>
      <w:rFonts w:ascii="Lucida Grande" w:hAnsi="Lucida Grande"/>
      <w:sz w:val="18"/>
      <w:szCs w:val="18"/>
    </w:rPr>
  </w:style>
  <w:style w:type="character" w:customStyle="1" w:styleId="BalloonTextCharf1">
    <w:name w:val="Balloon Text Char"/>
    <w:basedOn w:val="DefaultParagraphFont"/>
    <w:uiPriority w:val="99"/>
    <w:semiHidden/>
    <w:rsid w:val="005F3FA2"/>
    <w:rPr>
      <w:rFonts w:ascii="Lucida Grande" w:hAnsi="Lucida Grande"/>
      <w:sz w:val="18"/>
      <w:szCs w:val="18"/>
    </w:rPr>
  </w:style>
  <w:style w:type="character" w:customStyle="1" w:styleId="BalloonTextCharf2">
    <w:name w:val="Balloon Text Char"/>
    <w:basedOn w:val="DefaultParagraphFont"/>
    <w:uiPriority w:val="99"/>
    <w:semiHidden/>
    <w:rsid w:val="005F3FA2"/>
    <w:rPr>
      <w:rFonts w:ascii="Lucida Grande" w:hAnsi="Lucida Grande"/>
      <w:sz w:val="18"/>
      <w:szCs w:val="18"/>
    </w:rPr>
  </w:style>
  <w:style w:type="character" w:customStyle="1" w:styleId="BalloonTextCharf3">
    <w:name w:val="Balloon Text Char"/>
    <w:basedOn w:val="DefaultParagraphFont"/>
    <w:uiPriority w:val="99"/>
    <w:semiHidden/>
    <w:rsid w:val="005F3FA2"/>
    <w:rPr>
      <w:rFonts w:ascii="Lucida Grande" w:hAnsi="Lucida Grande"/>
      <w:sz w:val="18"/>
      <w:szCs w:val="18"/>
    </w:rPr>
  </w:style>
  <w:style w:type="character" w:customStyle="1" w:styleId="BalloonTextCharf4">
    <w:name w:val="Balloon Text Char"/>
    <w:basedOn w:val="DefaultParagraphFont"/>
    <w:uiPriority w:val="99"/>
    <w:semiHidden/>
    <w:rsid w:val="005F3FA2"/>
    <w:rPr>
      <w:rFonts w:ascii="Lucida Grande" w:hAnsi="Lucida Grande"/>
      <w:sz w:val="18"/>
      <w:szCs w:val="18"/>
    </w:rPr>
  </w:style>
  <w:style w:type="character" w:customStyle="1" w:styleId="BalloonTextCharf5">
    <w:name w:val="Balloon Text Char"/>
    <w:basedOn w:val="DefaultParagraphFont"/>
    <w:uiPriority w:val="99"/>
    <w:semiHidden/>
    <w:rsid w:val="00076EEB"/>
    <w:rPr>
      <w:rFonts w:ascii="Lucida Grande" w:hAnsi="Lucida Grande"/>
      <w:sz w:val="18"/>
      <w:szCs w:val="18"/>
    </w:rPr>
  </w:style>
  <w:style w:type="character" w:customStyle="1" w:styleId="BalloonTextCharf6">
    <w:name w:val="Balloon Text Char"/>
    <w:basedOn w:val="DefaultParagraphFont"/>
    <w:uiPriority w:val="99"/>
    <w:semiHidden/>
    <w:rsid w:val="00076EEB"/>
    <w:rPr>
      <w:rFonts w:ascii="Lucida Grande" w:hAnsi="Lucida Grande"/>
      <w:sz w:val="18"/>
      <w:szCs w:val="18"/>
    </w:rPr>
  </w:style>
  <w:style w:type="character" w:customStyle="1" w:styleId="BalloonTextCharf7">
    <w:name w:val="Balloon Text Char"/>
    <w:basedOn w:val="DefaultParagraphFont"/>
    <w:uiPriority w:val="99"/>
    <w:semiHidden/>
    <w:rsid w:val="00076EEB"/>
    <w:rPr>
      <w:rFonts w:ascii="Lucida Grande" w:hAnsi="Lucida Grande"/>
      <w:sz w:val="18"/>
      <w:szCs w:val="18"/>
    </w:rPr>
  </w:style>
  <w:style w:type="character" w:customStyle="1" w:styleId="BalloonTextCharf8">
    <w:name w:val="Balloon Text Char"/>
    <w:basedOn w:val="DefaultParagraphFont"/>
    <w:uiPriority w:val="99"/>
    <w:semiHidden/>
    <w:rsid w:val="00076EEB"/>
    <w:rPr>
      <w:rFonts w:ascii="Lucida Grande" w:hAnsi="Lucida Grande"/>
      <w:sz w:val="18"/>
      <w:szCs w:val="18"/>
    </w:rPr>
  </w:style>
  <w:style w:type="character" w:customStyle="1" w:styleId="BalloonTextCharf9">
    <w:name w:val="Balloon Text Char"/>
    <w:basedOn w:val="DefaultParagraphFont"/>
    <w:uiPriority w:val="99"/>
    <w:semiHidden/>
    <w:rsid w:val="00076EEB"/>
    <w:rPr>
      <w:rFonts w:ascii="Lucida Grande" w:hAnsi="Lucida Grande"/>
      <w:sz w:val="18"/>
      <w:szCs w:val="18"/>
    </w:rPr>
  </w:style>
  <w:style w:type="character" w:customStyle="1" w:styleId="BalloonTextCharfa">
    <w:name w:val="Balloon Text Char"/>
    <w:basedOn w:val="DefaultParagraphFont"/>
    <w:uiPriority w:val="99"/>
    <w:semiHidden/>
    <w:rsid w:val="00076EEB"/>
    <w:rPr>
      <w:rFonts w:ascii="Lucida Grande" w:hAnsi="Lucida Grande"/>
      <w:sz w:val="18"/>
      <w:szCs w:val="18"/>
    </w:rPr>
  </w:style>
  <w:style w:type="character" w:customStyle="1" w:styleId="BalloonTextCharfb">
    <w:name w:val="Balloon Text Char"/>
    <w:basedOn w:val="DefaultParagraphFont"/>
    <w:uiPriority w:val="99"/>
    <w:semiHidden/>
    <w:rsid w:val="00076EEB"/>
    <w:rPr>
      <w:rFonts w:ascii="Lucida Grande" w:hAnsi="Lucida Grande"/>
      <w:sz w:val="18"/>
      <w:szCs w:val="18"/>
    </w:rPr>
  </w:style>
  <w:style w:type="character" w:customStyle="1" w:styleId="BalloonTextCharfc">
    <w:name w:val="Balloon Text Char"/>
    <w:basedOn w:val="DefaultParagraphFont"/>
    <w:uiPriority w:val="99"/>
    <w:semiHidden/>
    <w:rsid w:val="00076EEB"/>
    <w:rPr>
      <w:rFonts w:ascii="Lucida Grande" w:hAnsi="Lucida Grande"/>
      <w:sz w:val="18"/>
      <w:szCs w:val="18"/>
    </w:rPr>
  </w:style>
  <w:style w:type="character" w:customStyle="1" w:styleId="BalloonTextCharfd">
    <w:name w:val="Balloon Text Char"/>
    <w:basedOn w:val="DefaultParagraphFont"/>
    <w:uiPriority w:val="99"/>
    <w:semiHidden/>
    <w:rsid w:val="00076EEB"/>
    <w:rPr>
      <w:rFonts w:ascii="Lucida Grande" w:hAnsi="Lucida Grande"/>
      <w:sz w:val="18"/>
      <w:szCs w:val="18"/>
    </w:rPr>
  </w:style>
  <w:style w:type="character" w:customStyle="1" w:styleId="BalloonTextCharfe">
    <w:name w:val="Balloon Text Char"/>
    <w:basedOn w:val="DefaultParagraphFont"/>
    <w:uiPriority w:val="99"/>
    <w:semiHidden/>
    <w:rsid w:val="00076EEB"/>
    <w:rPr>
      <w:rFonts w:ascii="Lucida Grande" w:hAnsi="Lucida Grande"/>
      <w:sz w:val="18"/>
      <w:szCs w:val="18"/>
    </w:rPr>
  </w:style>
  <w:style w:type="character" w:customStyle="1" w:styleId="BalloonTextCharff">
    <w:name w:val="Balloon Text Char"/>
    <w:basedOn w:val="DefaultParagraphFont"/>
    <w:uiPriority w:val="99"/>
    <w:semiHidden/>
    <w:rsid w:val="00076EEB"/>
    <w:rPr>
      <w:rFonts w:ascii="Lucida Grande" w:hAnsi="Lucida Grande"/>
      <w:sz w:val="18"/>
      <w:szCs w:val="18"/>
    </w:rPr>
  </w:style>
  <w:style w:type="character" w:customStyle="1" w:styleId="BalloonTextCharff0">
    <w:name w:val="Balloon Text Char"/>
    <w:basedOn w:val="DefaultParagraphFont"/>
    <w:uiPriority w:val="99"/>
    <w:semiHidden/>
    <w:rsid w:val="00076EEB"/>
    <w:rPr>
      <w:rFonts w:ascii="Lucida Grande" w:hAnsi="Lucida Grande"/>
      <w:sz w:val="18"/>
      <w:szCs w:val="18"/>
    </w:rPr>
  </w:style>
  <w:style w:type="character" w:customStyle="1" w:styleId="BalloonTextCharff1">
    <w:name w:val="Balloon Text Char"/>
    <w:basedOn w:val="DefaultParagraphFont"/>
    <w:uiPriority w:val="99"/>
    <w:semiHidden/>
    <w:rsid w:val="00076EEB"/>
    <w:rPr>
      <w:rFonts w:ascii="Lucida Grande" w:hAnsi="Lucida Grande"/>
      <w:sz w:val="18"/>
      <w:szCs w:val="18"/>
    </w:rPr>
  </w:style>
  <w:style w:type="character" w:customStyle="1" w:styleId="BalloonTextCharff2">
    <w:name w:val="Balloon Text Char"/>
    <w:basedOn w:val="DefaultParagraphFont"/>
    <w:uiPriority w:val="99"/>
    <w:semiHidden/>
    <w:rsid w:val="00AD5B2F"/>
    <w:rPr>
      <w:rFonts w:ascii="Lucida Grande" w:hAnsi="Lucida Grande"/>
      <w:sz w:val="18"/>
      <w:szCs w:val="18"/>
    </w:rPr>
  </w:style>
  <w:style w:type="character" w:customStyle="1" w:styleId="BalloonTextCharff3">
    <w:name w:val="Balloon Text Char"/>
    <w:basedOn w:val="DefaultParagraphFont"/>
    <w:uiPriority w:val="99"/>
    <w:semiHidden/>
    <w:rsid w:val="00AD5B2F"/>
    <w:rPr>
      <w:rFonts w:ascii="Lucida Grande" w:hAnsi="Lucida Grande"/>
      <w:sz w:val="18"/>
      <w:szCs w:val="18"/>
    </w:rPr>
  </w:style>
  <w:style w:type="character" w:customStyle="1" w:styleId="BalloonTextCharff4">
    <w:name w:val="Balloon Text Char"/>
    <w:basedOn w:val="DefaultParagraphFont"/>
    <w:uiPriority w:val="99"/>
    <w:semiHidden/>
    <w:rsid w:val="00AD5B2F"/>
    <w:rPr>
      <w:rFonts w:ascii="Lucida Grande" w:hAnsi="Lucida Grande"/>
      <w:sz w:val="18"/>
      <w:szCs w:val="18"/>
    </w:rPr>
  </w:style>
  <w:style w:type="character" w:customStyle="1" w:styleId="BalloonTextCharff5">
    <w:name w:val="Balloon Text Char"/>
    <w:basedOn w:val="DefaultParagraphFont"/>
    <w:uiPriority w:val="99"/>
    <w:semiHidden/>
    <w:rsid w:val="00AD5B2F"/>
    <w:rPr>
      <w:rFonts w:ascii="Lucida Grande" w:hAnsi="Lucida Grande"/>
      <w:sz w:val="18"/>
      <w:szCs w:val="18"/>
    </w:rPr>
  </w:style>
  <w:style w:type="character" w:customStyle="1" w:styleId="BalloonTextCharff6">
    <w:name w:val="Balloon Text Char"/>
    <w:basedOn w:val="DefaultParagraphFont"/>
    <w:uiPriority w:val="99"/>
    <w:semiHidden/>
    <w:rsid w:val="00AD5B2F"/>
    <w:rPr>
      <w:rFonts w:ascii="Lucida Grande" w:hAnsi="Lucida Grande"/>
      <w:sz w:val="18"/>
      <w:szCs w:val="18"/>
    </w:rPr>
  </w:style>
  <w:style w:type="character" w:customStyle="1" w:styleId="BalloonTextCharff7">
    <w:name w:val="Balloon Text Char"/>
    <w:basedOn w:val="DefaultParagraphFont"/>
    <w:uiPriority w:val="99"/>
    <w:semiHidden/>
    <w:rsid w:val="00AD5B2F"/>
    <w:rPr>
      <w:rFonts w:ascii="Lucida Grande" w:hAnsi="Lucida Grande"/>
      <w:sz w:val="18"/>
      <w:szCs w:val="18"/>
    </w:rPr>
  </w:style>
  <w:style w:type="character" w:customStyle="1" w:styleId="BalloonTextChar1">
    <w:name w:val="Balloon Text Char1"/>
    <w:basedOn w:val="DefaultParagraphFont"/>
    <w:link w:val="BalloonText"/>
    <w:uiPriority w:val="99"/>
    <w:semiHidden/>
    <w:rsid w:val="00AD5B2F"/>
    <w:rPr>
      <w:rFonts w:ascii="Lucida Grande" w:hAnsi="Lucida Grande"/>
      <w:sz w:val="18"/>
      <w:szCs w:val="18"/>
    </w:rPr>
  </w:style>
  <w:style w:type="paragraph" w:styleId="FootnoteText">
    <w:name w:val="footnote text"/>
    <w:basedOn w:val="Normal"/>
    <w:link w:val="FootnoteTextChar"/>
    <w:rsid w:val="0062121F"/>
    <w:rPr>
      <w:sz w:val="24"/>
    </w:rPr>
  </w:style>
  <w:style w:type="character" w:customStyle="1" w:styleId="FootnoteTextChar">
    <w:name w:val="Footnote Text Char"/>
    <w:basedOn w:val="DefaultParagraphFont"/>
    <w:link w:val="FootnoteText"/>
    <w:rsid w:val="0062121F"/>
    <w:rPr>
      <w:rFonts w:ascii="Times New Roman" w:hAnsi="Times New Roman"/>
    </w:rPr>
  </w:style>
  <w:style w:type="character" w:styleId="FootnoteReference">
    <w:name w:val="footnote reference"/>
    <w:basedOn w:val="DefaultParagraphFont"/>
    <w:rsid w:val="0062121F"/>
    <w:rPr>
      <w:vertAlign w:val="superscript"/>
    </w:rPr>
  </w:style>
  <w:style w:type="character" w:customStyle="1" w:styleId="Heading2Char">
    <w:name w:val="Heading 2 Char"/>
    <w:basedOn w:val="DefaultParagraphFont"/>
    <w:link w:val="Heading2"/>
    <w:uiPriority w:val="9"/>
    <w:rsid w:val="00A57423"/>
    <w:rPr>
      <w:rFonts w:ascii="Times" w:hAnsi="Times"/>
      <w:b/>
      <w:sz w:val="36"/>
      <w:szCs w:val="20"/>
    </w:rPr>
  </w:style>
  <w:style w:type="character" w:styleId="Hyperlink">
    <w:name w:val="Hyperlink"/>
    <w:basedOn w:val="DefaultParagraphFont"/>
    <w:uiPriority w:val="99"/>
    <w:rsid w:val="001C3F5F"/>
    <w:rPr>
      <w:color w:val="0000FF"/>
      <w:u w:val="single"/>
    </w:rPr>
  </w:style>
  <w:style w:type="paragraph" w:styleId="Header">
    <w:name w:val="header"/>
    <w:basedOn w:val="Normal"/>
    <w:link w:val="HeaderChar"/>
    <w:rsid w:val="00386B4F"/>
    <w:pPr>
      <w:tabs>
        <w:tab w:val="center" w:pos="4320"/>
        <w:tab w:val="right" w:pos="8640"/>
      </w:tabs>
    </w:pPr>
  </w:style>
  <w:style w:type="character" w:customStyle="1" w:styleId="HeaderChar">
    <w:name w:val="Header Char"/>
    <w:basedOn w:val="DefaultParagraphFont"/>
    <w:link w:val="Header"/>
    <w:rsid w:val="00386B4F"/>
    <w:rPr>
      <w:rFonts w:ascii="Times New Roman" w:hAnsi="Times New Roman"/>
      <w:sz w:val="22"/>
    </w:rPr>
  </w:style>
  <w:style w:type="paragraph" w:styleId="Footer">
    <w:name w:val="footer"/>
    <w:basedOn w:val="Normal"/>
    <w:link w:val="FooterChar"/>
    <w:rsid w:val="00386B4F"/>
    <w:pPr>
      <w:tabs>
        <w:tab w:val="center" w:pos="4320"/>
        <w:tab w:val="right" w:pos="8640"/>
      </w:tabs>
    </w:pPr>
  </w:style>
  <w:style w:type="character" w:customStyle="1" w:styleId="FooterChar">
    <w:name w:val="Footer Char"/>
    <w:basedOn w:val="DefaultParagraphFont"/>
    <w:link w:val="Footer"/>
    <w:rsid w:val="00386B4F"/>
    <w:rPr>
      <w:rFonts w:ascii="Times New Roman" w:hAnsi="Times New Roman"/>
      <w:sz w:val="22"/>
    </w:rPr>
  </w:style>
  <w:style w:type="character" w:styleId="PageNumber">
    <w:name w:val="page number"/>
    <w:basedOn w:val="DefaultParagraphFont"/>
    <w:rsid w:val="00850FA4"/>
  </w:style>
  <w:style w:type="character" w:customStyle="1" w:styleId="searchterm">
    <w:name w:val="searchterm"/>
    <w:basedOn w:val="DefaultParagraphFont"/>
    <w:rsid w:val="008F0EE4"/>
  </w:style>
  <w:style w:type="character" w:styleId="Emphasis">
    <w:name w:val="Emphasis"/>
    <w:basedOn w:val="DefaultParagraphFont"/>
    <w:uiPriority w:val="20"/>
    <w:qFormat/>
    <w:rsid w:val="006A4977"/>
    <w:rPr>
      <w:i/>
      <w:iCs/>
    </w:rPr>
  </w:style>
  <w:style w:type="character" w:customStyle="1" w:styleId="cosearchterm">
    <w:name w:val="co_searchterm"/>
    <w:basedOn w:val="DefaultParagraphFont"/>
    <w:rsid w:val="00383D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45895">
      <w:bodyDiv w:val="1"/>
      <w:marLeft w:val="0"/>
      <w:marRight w:val="0"/>
      <w:marTop w:val="0"/>
      <w:marBottom w:val="0"/>
      <w:divBdr>
        <w:top w:val="none" w:sz="0" w:space="0" w:color="auto"/>
        <w:left w:val="none" w:sz="0" w:space="0" w:color="auto"/>
        <w:bottom w:val="none" w:sz="0" w:space="0" w:color="auto"/>
        <w:right w:val="none" w:sz="0" w:space="0" w:color="auto"/>
      </w:divBdr>
    </w:div>
    <w:div w:id="159424145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wasserma:Library:Application%20Support:Microsoft:Office:User%20Templates:My%20Templates:Artic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Articles.dotx</Template>
  <TotalTime>1749</TotalTime>
  <Pages>12</Pages>
  <Words>4343</Words>
  <Characters>24761</Characters>
  <Application>Microsoft Macintosh Word</Application>
  <DocSecurity>0</DocSecurity>
  <Lines>206</Lines>
  <Paragraphs>58</Paragraphs>
  <ScaleCrop>false</ScaleCrop>
  <Company>FIU College of Law</Company>
  <LinksUpToDate>false</LinksUpToDate>
  <CharactersWithSpaces>29046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Howard Wasserman</dc:creator>
  <cp:keywords/>
  <cp:lastModifiedBy>Howard Wasserman</cp:lastModifiedBy>
  <cp:revision>603</cp:revision>
  <cp:lastPrinted>2014-07-11T00:14:00Z</cp:lastPrinted>
  <dcterms:created xsi:type="dcterms:W3CDTF">2014-07-08T14:29:00Z</dcterms:created>
  <dcterms:modified xsi:type="dcterms:W3CDTF">2014-07-14T21:26:00Z</dcterms:modified>
</cp:coreProperties>
</file>